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D-4584/2015 vom 28. Oktober 2016</w:t>
      </w:r>
    </w:p>
    <w:p>
      <w:r>
        <w:t>Bundesverwaltungsgericht, 2016-10-28, DE</w:t>
      </w:r>
    </w:p>
    <w:p>
      <w:r>
        <w:rPr>
          <w:b/>
        </w:rPr>
        <w:t xml:space="preserve">Quelle: </w:t>
      </w:r>
      <w:r>
        <w:t>https://mcp.opencaselaw.ch/entscheid/bvger_D-4584_2015</w:t>
      </w:r>
    </w:p>
    <w:p>
      <w:r>
        <w:t>FR: TAF D-4584/2015 du 28 octobre 2016</w:t>
      </w:r>
    </w:p>
    <w:p>
      <w:r>
        <w:t>IT: TAF D-4584/2015 del 28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BVGE 2010/57 E. 2.3 S. 826 f.).</w:t>
      </w:r>
    </w:p>
    <w:p>
      <w:r>
        <w:rPr>
          <w:b/>
        </w:rPr>
        <w:t>E. 4.1</w:t>
      </w:r>
    </w:p>
    <w:p>
      <w:r>
        <w:t>In der Rechtsmitteleingabe wird der Sachverhalt insofern präzisiert, als die Familie des Beschwerdeführers eng mit der Familie K._______ und der H._______-Partei verknüpft sei, wobei auch auf dessen in der Schweiz wohnhaften Bruder L._______ verwiesen und der Beizug von dessen Akten beantragt wird. Aus diesen würden sich Hinweise auf die engen Beziehungen zur Familie K._______ - der Bruder sei früher ein enger Mitarbeiter dieser Familie gewesen und habe in diesem Zusammenhang auf der Flucht vor asylrelevanter Verfolgung in der Schweiz um Asyl nachgesucht - und auf eine darauf zurückzuführende Sippenverfolgung der Familie ergeben. Der Bruder habe allerdings später sein Asylgesuch zurückgezogen, weil er (...) eine Aufenthaltsbewilligung erhalten habe. Die Mitgliedschaft und die Arbeit des Beschwerdeführers für die Partei hätten, wie dieser eindrücklich geschildert habe, seit jeher zu Konflikten mit Schiiten und insbesondere der Hisbollah geführt. Hinzugekommen seien seine Fahrten nach Syrien und das dort gegen ihn hängige Strafverfahren, weshalb mehr als nachvollziehbar sei, dass er ins Visier der Hisbollah geraten sei. Zudem sei die Sachverhaltszusammenfassung durch die Vorinstanz insofern falsch, als der Anschlag auf den Beschwerdeführer vor (...) und nicht vor demjenigen (...) erfolgt sei. Schliesslich unterschlage die Sachverhaltszusammenfassung die wesentlichen Tatbestandselemente der familiären Bindungen zur Familie K._______, des jahrelangen Konflikts mit der Hisbollah, des in Syrien gegen den Beschwerdeführer laufenden Strafverfahrens und der Flucht (nach) M._______ ebenso wie den Umstand, dass der Entscheid zur Flucht im Polizeigewahrsam gefallen und umgehend erfolgt sei. Diese (sinngemäss) gerügten Verletzungen formellen Rechts, insbesondere diejenige der unvollständigen und unrichtigen Sachverhaltsfeststellung, sind vorweg zu prüfen, da ein allenfalls ungenügend abgeklärter Sachverhalt eine materielle Beurteilung verunmöglichen würde (vgl. dazu nachstehend E. 4.2-4.4).</w:t>
      </w:r>
    </w:p>
    <w:p>
      <w:r>
        <w:rPr>
          <w:b/>
        </w:rPr>
        <w:t>E. 4.2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(Art. 13 VwVG und Art. 8 AsylG; vgl. BVGE 2015/4 E. 3.2 S. 75).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Zweifeloder Unsicherheiten bestehen, die voraussichtlich nur mit Ermittlungen von Amtes wegen beseitigt werden können (vgl. BVGE 2012/21 E. 5.1 S. 414 f. sowie Entscheidungen und Mitteilungen der Schweizerischen Asylrekurskommission [EMARK] 1995 Nr. 23 E. 5a S. 222). In diesem Kontext besehen, gilt ein Sachverhalt indes erst dann als unvollständig festgestellt, wenn nicht über alle rechtserheblichen Umstände Beweis geführt wurde oder wenn eine entscheidrelevante Tatsache zwar erhoben wurde, diese jedoch daraufhin nicht gewürdigt wurde und nicht in den Entscheid einfloss (vgl. Zibung/Hofstetter, in: Praxiskommentar VwVG, Waldmann/Weissenberger [Hrsg.], 2. Aufl. 2016, Art. 49 N 40; siehe zum Ganzen auch Benjamin Schindler, in: Auer et al. [Hrsg.], Kommentar zum Bundesgesetz über das Verwaltungsverfahren [VwVG], 2008, Rz. 28 zu Art. 49).</w:t>
      </w:r>
    </w:p>
    <w:p>
      <w:r>
        <w:rPr>
          <w:b/>
        </w:rPr>
        <w:t>E. 4.3</w:t>
      </w:r>
    </w:p>
    <w:p>
      <w:r>
        <w:t>Vorliegend ging die Vorinstanz aufgrund der Parteiauskünfte und der von den Beschwerdeführenden eingereichten Beweismittel (Art. 12 Bst. c VwVG) offensichtlich davon aus, dass der rechtserhebliche Sachverhalt als erstellt gelten könne und keine weiteren Beweismassnahmen zu ergreifen seien. Aus dem antragsgemässen Beizug der Asylakten des Bruders L._______ des Beschwerdeführers vermögen die Beschwerdeführenden im Zusammenhang mit der geltend gemachten Rüge der unvollständigen Sachverhaltsfeststellung nichts zu ihren Gunsten abzuleiten. Insbesondere kann aus dem Vorbringen, dass auch der Bruder des Beschwerdeführers für den Sicherheitsdienst der Partei tätig gewesen sei, noch nicht auf eine angebliche enge Verknüpfung mit der Familie K._______ geschlossen werden. Zudem scheint die vom Bruder geltend gemachte Verfolgung entgegen den Ausführungen in der Beschwerde nicht aus einem Grund nach Art. 3 AsylG erfolgt zu sein. Von einer Sippenverfolgung der Familie des Beschwerdeführers kann unter diesen Umständen keine Rede sein. Sodann hatte der Beschwerdeführer zwar in der Tat erklärt, dass der Anschlag auf ihn vor (...) erfolgt sei, und erweist sich die Zusammenfassung des Sachverhalts durch die Vorinstanz insofern als nicht zutreffend. Dieser Fehler ist aber rechtlich nicht erheblich, da er keine weitergehenden (rechtlichen) Konsequenzen für den vorliegenden Fall und dessen Beurteilung mit sich bringt. Dasselbe gilt auch für die von der Vorinstanz in der Sachverhaltszusammenfassung nicht erwähnten Vorbringen, dass der Beschwerdeführer den Fluchtentscheid in Polizeigewahrsam gefasst habe und die Flucht umgehend zunächst (nach) M._______ erfolgt sei. Demgegenüber hielt die Vorinstanz im Sachverhalt entgegen den Ausführungen in der Beschwerde fest, dass der Beschwerdeführer vorgebracht habe, von den syrischen Behörden gesucht zu werden und sich sicher sei, dass Anhänger der Hisbollah den Anschlag auf ihn verübt hätten.</w:t>
      </w:r>
    </w:p>
    <w:p>
      <w:r>
        <w:rPr>
          <w:b/>
        </w:rPr>
        <w:t>E. 4.4</w:t>
      </w:r>
    </w:p>
    <w:p>
      <w:r>
        <w:t>Nach dem Gesagten ergeben sich aus der angefochtenen Verfügung keine hinreichenden Anhaltspunkte, welche den Schluss zulassen würden, das SEM habe den Sachverhalt unvollständig abgeklärt respektive den Untersuchungsgrundsatz verletzt. Deshalb ist der Antrag auf Rückweisung an die Vorinstanz abzuweisen.</w:t>
      </w:r>
    </w:p>
    <w:p>
      <w:r>
        <w:rPr>
          <w:b/>
        </w:rPr>
        <w:t>E. 4.5</w:t>
      </w:r>
    </w:p>
    <w:p>
      <w:r>
        <w:t>In der Beschwerde wird an der Glaubhaftigkeit der geltend gemachten Vorbringen festgehalten und weiter eingewandt, dass der Beschwerdeführer bei der Anhörung detaillierte Angaben gemacht, der Dolmetscher jedoch nicht alle Details übersetzt habe. Auch hätten sich seine eigenen Erinnerungen an den Anschlagsversuch bereits unmittelbar danach mit denjenigen der herbeigeilten Nachbarn vermischt, weshalb er sich nicht mehr sicher sei, was er selbst gesehen habe und was ihm die Nachbarn erzählt hätten. Bezüglich der Beschwerdeführerin wird ausgeführt, dass diese während der Anhörung wegen Kopfschmerzen ein Medikament eingenommen habe, da die Befragung sie sehr belastet habe. Aus der Sicht des Rechtsvertreters stelle dies ein klares Indiz für ihre Glaubwürdigkeit dar, weil die erzwungene Erinnerung an das Trauma retraumatisierend gewirkt habe. Aus der Durchsicht des Protokolls der Anhörung des Beschwerdeführers (vgl. A[...]) ergeben sich keine Hinweise auf eine unvollständige Übersetzung durch den Dolmetscher. Vielmehr bestätigte der Beschwerdeführer am Schluss der Anhörung, dass ihm das Protokoll Satz für Satz vorgelesen und rückübersetzt worden sei, es vollständig sei und seinen freien Äusserungen entspreche. Der Beschwerdeführer muss sich mithin auf seine Aussagen behaften lassen. Sodann vermag der Einwand der Vermischung der Erinnerungen an den Anschlagsversuch mit den Schilderungen der herbeigeilten Nachbarn jedenfalls die widersprüchlichen Aussagen des Beschwerdeführers betreffend die Täterschaft auf (...) nicht plausibel zu erklären. Schliesslich trifft zwar zu, dass die Beschwerdeführerin nach rund der Hälfte der Anhörung erklärte, Kopfschmerzen beziehungsweise (...) zu haben, und deswegen ein Medikament ([...]) einnahm (vgl. A[...]). Im Übrigen hatte sie bereits anlässlich der BzP erklärt, an (...) zu leiden (vgl. A[...]). Damit vermag sie indessen den Mangel an erlebnisorientierten Details in ihrer Schilderung des Attentats nicht plausibel zu erklären.</w:t>
      </w:r>
    </w:p>
    <w:p>
      <w:r>
        <w:rPr>
          <w:b/>
        </w:rPr>
        <w:t>E. 4.6</w:t>
      </w:r>
    </w:p>
    <w:p>
      <w:r>
        <w:t>Zusammen mit der Beschwerde wurde ein Foto als neues Beweismittel eingereicht. Dieses zeige die Fahrzeugkarte des beschossenen Fahrzeugs, welches in dem auf dem eingereichten USB-Stick gespeicherten Video zu sehen sei. Aus der Karte gehe auch hervor, dass das Auto auf den Namen des Bruders des Beschwerdeführers geleast gewesen sei. Die Beschwerdeführenden vermögen aus diesem Beweismittel nichts zu ihren Gunsten abzuleiten. So ist aus dem Foto für das Gericht nicht ersichtlich, dass das Dokument ein vom Bruder des Beschwerdeführers geleastes Fahrzeug betrifft. Abgesehen davon hat der Beschwerdeführer imvorinstanzlichen Verfahren nie erklärt, dass es sich bei dem beim Attentat beschädigten Auto nicht um sein eigenes, sondern um ein von seinem Bruder geleastes Fahrzeug gehandelt habe. Aus dem Foto geht hervor, dass sich das Dokument auf ein Fahrzeug vom Typ (...) bezieht. In der Tat ist in dem auf dem USB-Stick gespeicherten Video und auf mehreren Fotos ein offensichtlich durch Projektile beschädigtes Fahrzeug dieses Typs zu sehen (auf einer älteren Aufnahme ist das Fahrzeug unversehrt abgebildet). In diesem Zusammenhang ist auf die Aussagen des Beschwerdeführers zu diesem Vorfall hinzuweisen: Er sei im Begriff gewesen, das Auto mit der Fernbedienung zu öffnen, als ein (...) an ihm vorbeigefahren sei, (...) ein Gewehr herausgeholt und auf ihn gerichtet habe; in diesem Moment habe er sich auf den Boden gelegt; das Gewehr sei von einer Ecke aus auf ihn gerichtet worden; es seien keine Salven abgefeuert, sondern ab und zu in die Richtung des Beschwerdeführers geschossen worden, wobei der Schütze visiert und dann abgedrückt habe (vgl. A[...]). Diese Aussagen des Beschwerdeführers lassen sich kaum in Einklang mit den Fotos des Fahrzeugs bringen, befinden sich doch die Beschädigungen überwiegend auf der Fahrerseite im Bereich der Windschutzscheibe und unmittelbar davor an der Motorhaube, während der vordere Kotflügel lediglich an drei über der Radhöhe gelegenen Stellen beschädigt ist (vgl. Fotos und Video).</w:t>
      </w:r>
    </w:p>
    <w:p>
      <w:r>
        <w:rPr>
          <w:b/>
        </w:rPr>
        <w:t>E. 4.7</w:t>
      </w:r>
    </w:p>
    <w:p>
      <w:r>
        <w:t>Der Beschwerdeführer führt in der Rechtsmitteleingabe weiter aus, dass er seit längerer Zeit versuche, über seinen Anwalt in D._______ Belege für das Verfahren seiner Anzeige zu beschaffen, und stellt deren Nachreichung in Aussicht, ebenso von weiteren Beweismitteln, insbesondere schriftlichen Erklärungen von Augenzeugen des Attentats. Dazu ist festzuhalten, dass seitens der Beschwerdeführenden bis anhin keine weiteren Beweismittel nachgereicht wurden.</w:t>
      </w:r>
    </w:p>
    <w:p>
      <w:r>
        <w:rPr>
          <w:b/>
        </w:rPr>
        <w:t>E. 4.8</w:t>
      </w:r>
    </w:p>
    <w:p>
      <w:r>
        <w:t>In der Rechtsmitteleingabe legen die Beschwerdeführenden Wert auf die Feststellung, dass sie bereits im Jahr 2013 - im Besitz eines Visums -zu ihren Familienmitgliedern zu Besuch in die Schweiz gereist seien und ein solcher Besuch auch für das Jahr 2014 vorgesehen gewesen sei. Dass dann die Einreise bereits im Juni 2014 erfolgt sei, sei darauf zurückzuführen, dass die Beschwerdeführenden nach ihrer Flucht (nach) M._______ auf die Hilfe ihrer Familie in der Schweiz hätten zählen können, welche Einreisevisa für die Schweiz beschafft habe. Diesbezüglich wird in der Beschwerde auf die Schilderung in A(...) verwiesen. Auch diese Ausführungen sprechen nicht für die Glaubhaftigkeit der Vorbringen der Beschwerdeführenden. So beantwortete der Beschwerdeführer die Frage, wie er das bereits früher beantragte Visum erkläre, dass er schon im letzten Jahr (2013) in der Schweiz gewesen sei und wieder hier habe Ferien verbringen wollen, weil seine Brüder seine Tochter hätten sehen wollen (vgl. A[...]). Sofort nach seiner Ankunft in M._______ (17. Juni 2014) habe er unter anderen auch seinen Bruder in der Schweiz kontaktiert. Dieser sei nach zwei bis drei Tagen in M._______ eingetroffen und bis zum 23. Juni 2014 bei den Beschwerdeführenden geblieben (vgl. A[...]). Diese Aussagen und der Umstand, dass die offensichtlich bereits einige Zeit vorher beantragten Visa am 23. Juni 2014 in D._______ ausgestellt wurden, mithin zu einem Zeitpunkt, als sich die Beschwerdeführenden ihren Aussagen zufolge nicht mehr dort, sondern bereits seit sechs Tagen in M._______ befanden, lassen sich kaum mit dem von ihnen geschilderten Verlauf der Ereignisse - sie hätten D._______ am Morgen des übernächsten Tags nach dem Attentat verlassen - in Einklang bringen.</w:t>
      </w:r>
    </w:p>
    <w:p>
      <w:r>
        <w:rPr>
          <w:b/>
        </w:rPr>
        <w:t>E. 4.9</w:t>
      </w:r>
    </w:p>
    <w:p>
      <w:r>
        <w:t>Zusammenfassend gelangt das Bundesverwaltungsgericht nach der Überprüfung der Akten, der Rechtsmitteleingabe und der eingereichten Beweismittel zum Schluss, dass die Vorinstanz zu Recht die Flüchtlingseigenschaft der Beschwerdeführenden verneint und ihre Asylgesuche abgelehnt hat. Sie hat in ihrem Entscheid in umfassender und korrekter Weise die Gründe angeführt, aus welchen die in vorstehend E. 3.2 aufgeführten Kriterien der Glaubhaftmachung mit Blick auf die geltend gemachten Verfolgungsumstände nicht als erfüllt zu erachten sind. Es erübrigt sich, auf die weiteren Ausführungen in der Beschwerde und die übrigen nicht namentlich erwähnten Beweismittel detaillierter einzugehen, da sie an der vorliegenden Würdigung des Sachverhalts nichts zu ändern vermögen. Zudem erübrigt es sich nach dem Gesagten auch, die Vorbringen auf ihre flüchtlingsrechtliche Relevanz hin zu prüfen. Deshalb wird der diesbezüglich gestellte Antrag auf Rückweisung der Sache an die Vorinstanz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Libanon ist demnach unter dem Aspekt von Art. 5 AsylG rechtmässig. Sodann ergeben sich weder aus den Aussagen der Beschwerdeführenden noch aus den Akten Anhaltspunkte dafür, dass sie für den Fall einer Ausschaffung in den Libanon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Libanon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Im Libanon herrscht keine Situation allgemeiner Gewalt, weshalb von der generellen Zumutbarkeit des Wegweisungsvollzugs dorthin auszugehen ist.</w:t>
      </w:r>
    </w:p>
    <w:p>
      <w:r>
        <w:rPr>
          <w:b/>
        </w:rPr>
        <w:t>E. 6.4.2</w:t>
      </w:r>
    </w:p>
    <w:p>
      <w:r>
        <w:t>Konkrete Anhaltspunkte dafür, dass die Beschwerdeführenden bei einer Rückkehr einer Gefährdungssituation ausgesetzt wären oder aus individuellen Gründen wirtschaftlicher, sozialer oder gesundheitlicher Natur in eine existenzbedrohende Situation geraten würden, liegen keine vor. Der noch junge und, soweit aktenkundig, gesunde Beschwerdeführer hat die Matura abgeschlossen und (...) Jahre an der Fachhochschule in D._______ (...) studiert. Er war bei einer (...) tätig und verfügt über Berufserfahrung in der Sicherheitsbranche. Die Beschwerdeführerin hat das Gymnasium im (...) Jahr abgebrochen und war in der Folge im (...) erwerbstätig. Sie scheint an (...) zu leiden. Es ist jedoch davon auszugehen, dass dieses Leiden, falls erforderlich, im Libanon behandelbar ist. Die Eltern und ein (...) des Beschwerdeführers sind nach wie vor in D._______ wohnhaft, ebenso ein (...) der Beschwerdeführerin. Darüber hinaus sind auch zahlreiche Onkel und Tanten der Beschwerdeführenden zu deren Beziehungsnetz im Libanon zu zählen. In Würdigung der Gesamtsituation und unter gebührender Berücksichtigung des Kindeswohls der sich in Obhut ihrer Eltern befindenden (...) Tochter der Beschwerdeführenden erscheint der Vollzug der Wegweisung auch in individueller Hinsicht als zumutbar.</w:t>
      </w:r>
    </w:p>
    <w:p>
      <w:r>
        <w:rPr>
          <w:b/>
        </w:rPr>
        <w:t>E. 6.4.3</w:t>
      </w:r>
    </w:p>
    <w:p>
      <w:r>
        <w:t>Nach dem Gesagten kann der Vollzug der Wegweisung sowohl in genereller als auch in individueller Hinsicht als zumutbar bezeichnet werden.</w:t>
      </w:r>
    </w:p>
    <w:p>
      <w:r>
        <w:rPr>
          <w:b/>
        </w:rPr>
        <w:t>E. 6.5</w:t>
      </w:r>
    </w:p>
    <w:p>
      <w:r>
        <w:t>Schliesslich obliegt es den Beschwerdeführenden, welche im Besitz von gültigen Reisepässen sind, sich bei der zuständigen Vertretung des Heimatstaates allfällige weitere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Die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Da den Beschwerdeführenden mit Zwischenverfügung vom 17. April 2015 die unentgeltliche Prozessführung im Sinne von Art. 65 Abs. 1 VwVG gewährt wurde, sind ihnen keine Verfahrenskosten aufzuerlegen.</w:t>
      </w:r>
    </w:p>
    <w:p>
      <w:r>
        <w:rPr>
          <w:b/>
        </w:rPr>
        <w:t>E. 8.2</w:t>
      </w:r>
    </w:p>
    <w:p>
      <w:r>
        <w:t>Nachdem den Beschwerdeführenden mit gleicher Zwischenverfügung ihr Rechtsvertreter als amtlicher Rechtsbeistand gemäss Art. 110a Abs. 1 AsylG beigeordnet worden ist, ist diesem ein entsprechendes Honorar auszurichten (vgl. für die Grundsätze der Bemessung der Parteientschädigung Art. 7 ff. des Reglements über die Kosten und Entschädigungen vor dem Bundesverwaltungsgericht vom 21. Februar 2008 [VGKE, SR 173.320.2]). Der Umfang der unentgeltlichen Rechtsverbeiständung bezieht sich auf diejenigen Kosten, die mit und nach Einreichung des Gesuchs entstehen (vgl. Martin Kayser, in: Auer et al., a.a.O., Art. 65 N 34, mit Hinweis auf BGE 122 I 322 E. 3b S. 326). Der amtliche Rechtsbeistand hat keine Kostennote eingereicht. Auf entsprechende Nachforderung kann verzichtet werden, da sich die Vertretungskosten aufgrund der Akten einschätzen lassen (Art. 14 Abs. VGKE). Unter Berücksichtigung der massgebenden Berechnungsfaktoren (Art. 8, 9 und 11 VGKE) ist das amtliche Honorar auf Fr. 1'506.- (inkl. Auslagen und Mehrwertsteuer) festzusetzen und Fürsprecher Daniel Weber, Bern,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