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D-4580/2009 vom 8. November 2011</w:t>
      </w:r>
    </w:p>
    <w:p>
      <w:r>
        <w:t>Bundesverwaltungsgericht, 2011-11-08, DE</w:t>
      </w:r>
    </w:p>
    <w:p>
      <w:r>
        <w:rPr>
          <w:b/>
        </w:rPr>
        <w:t xml:space="preserve">Quelle: </w:t>
      </w:r>
      <w:r>
        <w:t>https://mcp.opencaselaw.ch/entscheid/bvger_D-4580_2009</w:t>
      </w:r>
    </w:p>
    <w:p>
      <w:r>
        <w:t>FR: TAF D-4580/2009 du 8 novembre 2011</w:t>
      </w:r>
    </w:p>
    <w:p>
      <w:r>
        <w:t>IT: TAF D-4580/2009 del 8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3.3</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BVGE 2008/4 E. 5.4 mit weiteren Hinweisen).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der asylsuchenden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 der Inhalt der Vorbringen zwar möglich ist, aber in Würdigung der gesamten Aspekte wesentliche und überwiegende Umstände gegen die vorgebrachte Darstellung des Sachverhalts sprechen. Entscheidend im Sinne einer Gesamtwürdigung ist, ob die für die Richtigkeit des dargelegten Sachverhalts sprechenden Gründe überwiegen oder nicht; dabei ist auf eine objektivierte Sichtweise abzustellen.</w:t>
      </w:r>
    </w:p>
    <w:p>
      <w:r>
        <w:rPr>
          <w:b/>
        </w:rPr>
        <w:t>E. 5.1</w:t>
      </w:r>
    </w:p>
    <w:p>
      <w:r>
        <w:t>Zur Begründung ihres ablehnenden Entscheides vom 10. Juli 2009 führte die Vorinstanz aus, dass der Wahrheitsgehalt wesentlicher Vorbringen, die ohne zwingenden Grund im weiteren Verlauf des Verfahrens nicht mehr geltend gemacht worden seien, zweifelhaft sei. Der Beschwerdeführer habe bei der Befragung zu Protokoll gegeben, dass Personen des CID (Criminal Investigation Department) ihn am (...) noch einmal angerufen und mit dem Tod bedroht hätten, falls er das Geld nicht bringen würde (vgl. A4, S. 6). Während der Anhörung habe er hingegen erzählt, sie hätten ihn am (...) erneut telefonisch um Geld erpresst. Er habe ihnen jedoch gesagt, dass er nicht zahlen werde und habe anschliessend sein Mobiltelefon ausgeschaltet. Die Todesdrohung vom (...) habe er nicht mehr erwähnt (vgl. A7, S. 10). Des weiteren seien Vorbringen dann widersprüchlich, wenn im Verlaufe des Verfahrens zu wesentlichen Punkten unterschiedliche Angaben gemacht würden. Er habe bei der Befragung zur Person ausgesagt, dass er während des Verhörs gezwungen worden sei, Urin zu trinken (vgl. A4, S. 5). Bei der Anhörung habe er jedoch erzählt, sie hätten ihm den Urin über den Kopf geleert, als er diesen nicht habe trinken wollen (vgl. A7, S. 5). Überdies seien Vorbringen dann unglaubhaft, wenn sie in wesentlichen Punkten der allgemeinen Erfahrung oder der Logik des Handelns widersprächen. Der Beschwerdeführer habe zu Protokoll gegeben, er habe sich nach der Gelderpressung bei einem Freund aufgehalten. Er sei jedoch nicht in der Lage gewesen, den Nachnamen seines Freundes anzugeben, obwohl er zwei Monate bei ihm gewohnt haben wolle (vgl. A4, S. 6). Zudem könne in keiner Weise nachvollzogen werden, wieso sich das CID erst drei Jahre nach dem Tod einer für das Departement anscheinend wichtigen Person an den Beschwerdeführer gewendet habe, um diesbezüglich Informationen zu erhalten (vgl. A7, S. 6). Demzufolge müssten die genannten Vorbringen allesamt als unglaubhaft qualifiziert werden. Schliesslich vermöchten an diesen Erwägungen auch die vom Beschwerdeführer eingereichten Dokumente nichts zu ändern, stützten sie doch lediglich Vorbringen, deren Glaubhaftigkeit vorliegend nicht in Frage gestellt werde.</w:t>
      </w:r>
    </w:p>
    <w:p>
      <w:r>
        <w:rPr>
          <w:b/>
        </w:rPr>
        <w:t>E. 5.2</w:t>
      </w:r>
    </w:p>
    <w:p>
      <w:r>
        <w:t>In seiner Rechtsmitteleingabe vom 16. Juli 2009 wiederholte und präzisierte der Beschwerdeführer im Wesentlichen seine Vorbringen, die er bereits während der Befragung beziehungsweise Anhörung gemacht hatte und nahm Stellung zu den von der Vorinstanz als unglaubhaft beziehungsweise als widersprüchlich beurteilen Vorbringen. Zudem verwies er auf die allgemein schwierige humanitäre Lage im Zusammenhang mit dem Bürgerkrieg in Sri Lanka.</w:t>
      </w:r>
    </w:p>
    <w:p>
      <w:r>
        <w:rPr>
          <w:b/>
        </w:rPr>
        <w:t>E. 6.1</w:t>
      </w:r>
    </w:p>
    <w:p>
      <w:r>
        <w:t>Das BFM hat im angefochtenen Entscheid zu Recht festgestellt, dass der Beschwerdeführer das wesentliche Asylvorbringen der an ihn vom CID gerichteten Todesdrohung zwar bei der Befragung zu Protokoll gegeben, dieses zentrale Element seiner Verfolgungsgeschichte jedoch während der Anhörung mit keinem Wort mehr erwähnt hat. Zudem erstaunt die unterschiedliche Schilderung der erlittenen Folter im Zusammenhang mit dem Trinken beziehungsweise dem über seinen Kopf geleerten Urin während des Verhörs. Überdies ist nicht nachvollziehbar, weshalb sich das CID erst drei Jahre nach der Tötung einer für dieses bedeutenden Person an den Beschwerdeführer gewendet hat. Deshalb sind diese elementaren Vorbringen als unglaubhaft zu qualifizieren. Bei den Äusserungen des Beschwerdeführers handelt es sich offensichtlich um ein Sachverhaltskonstrukt, dem es an Realkennzeichen und der subjektiven Betroffenheit fehlt.</w:t>
      </w:r>
    </w:p>
    <w:p>
      <w:r>
        <w:rPr>
          <w:b/>
        </w:rPr>
        <w:t>E. 6.2</w:t>
      </w:r>
    </w:p>
    <w:p>
      <w:r>
        <w:t>Die Vorbringen in der Rechtsmitteleingabe vom 16. Juli 2009 sind nicht geeignet, eine Änderung der vorinstanzlichen Verfügung zu bewirken. Der Argumentation der Vorinstanz werden keine stichhaltigen, substanziierten und vor allem belegten Gründe entgegengehalten. Um Wiederholungen zu vermeiden, wird deshalb vorab auf die zutreffenden Erwägungen der Vorinstanz verwiesen. Auch der Einwand des Beschwerdeführers, dass die Widersprüchlichkeit seiner Vorbringen auf die schlechte Arbeit des Übersetzers zurückzuführen sei, vermag nicht zu überzeugen. Er hat den Wahrheitsgehalt seiner in den jeweiligen Protokollen anlässlich der Befragung sowie der Anhörung festgehaltenen Aussagen durch seine Unterschrift bestätigt, weshalb er diese gegen sich gelten lassen muss. Die auf der letzten Seite des Anhörungsprotokolles (vgl. A7, S. 13) von der Hilfswerksvertretung ergänzend angebrachten handschriftlichen Notizen zielen auf die vom Beschwerdeführer vorher gemachten Vorbringen ab, wiederholen diese teilweise und fassen wesentliche Punkte noch einmal zusammen. Eine Kritik am Übersetzer oder an sonstigen Gegebenheiten anlässlich der Anhörung unterbleibt jedoch. Die diesbezügliche Beanstandung muss somit als nachgeschoben bezeichnet werden.</w:t>
      </w:r>
    </w:p>
    <w:p>
      <w:r>
        <w:rPr>
          <w:b/>
        </w:rPr>
        <w:t>E. 6.3</w:t>
      </w:r>
    </w:p>
    <w:p>
      <w:r>
        <w:t>Zusammenfassend bestätigt das Bundesverwaltungsgericht die Erkenntnis des BFM, dass die Vorbringen des Beschwerdeführer den Anforderungen an die Glaubhaftigkeit gemäss Art. 7 AsylG nicht standhalten, so dass ihre Asylrelevanz nicht geprüft werden muss. Es erübrigt sich, auf weitere Vorbringen in der Beschwerde einzugehen, weil sie an dieser Einschätzung nichts zu ändern vermögen. Der Beschwerdeführer erfüllt die Flüchtlingseigenschaft nicht, und das BFM hat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Im zur Publikation vorgesehenen Urteil BVGE E-6220/2006 vom 27. Oktober 2011 hat das Bundesverwaltungsgericht angesichts der veränderten Lage nach dem Ende des sri-lankischen Bürgerkriegs im Mai 2009 kürzlich eine neue Beurteilung der Situation und der entsprechenden Zumutbarkeitskriterien vorgenommen. Dabei ist es im Wesentlichen zu folgender Einschätzung gelangt (a.a.O., E. 13.2.1): Im Distrikt Jaffna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 Dabei ist neben allgemeinen Faktoren (wie sozio-ökonomischen und medizinischen Aspekten, dem Kindeswohl usw.) auch dem zeitlichen Ele­ment gebührend Rechnung zu tragen (zum Folgenden BVGE E-6220/2006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(vgl. diesbezüglich BVGE E-6220/2006 E. 13.3).</w:t>
      </w:r>
    </w:p>
    <w:p>
      <w:r>
        <w:rPr>
          <w:b/>
        </w:rPr>
        <w:t>E. 8.4.2</w:t>
      </w:r>
    </w:p>
    <w:p>
      <w:r>
        <w:t>Das Bundesverwaltungsgericht ging sodann bereits nach der früheren Rechtsprechung davon aus, dass bei Tamilen, die aus dem Grossraum Colombo oder dessen Umgebung stammen und dort über ein tragfähiges Familien- und Beziehungsnetz verfügen sowie mit einer konkreten Unterkunftsmöglichkeit rechnen können, grundsätzlich von der Zumutbarkeit des Wegweisungsvollzugs in diese Gebiete auszugehen ist (BVGE 2008/2 E. 7.6 S. 20 f.). Diese Praxis ist nunmehr im erwähnten neuen Urteil E-6220/2006 nicht bloss bestätigt, sondern sogar erweitert worden, indem nun für Personen, die aus den Provinzen North Central, North Western, Central, Western (namentlich: der Grossraum Colombo), Southern, Sabarugamuwa und die Uva-Provinz stammen und dorthin zurückkehren, der Wegweisungsvollzug grundsätzlich zumutbar (E. 13.3).</w:t>
      </w:r>
    </w:p>
    <w:p>
      <w:r>
        <w:rPr>
          <w:b/>
        </w:rPr>
        <w:t>E. 8.5</w:t>
      </w:r>
    </w:p>
    <w:p>
      <w:r>
        <w:t>Der Beschwerdeführer verbrachte einen Grossteil seines bisherigen Lebens - er zog 1991 im Alter von acht Jahren mit seiner Familie aus der Region Jaffna in die srilankische Hauptstadt - in Colombo, wo er überdies über ein tragfähiges soziales, familiäres Beziehungsnetz verfügt (gemäss Angaben vom Mai 2009 Eltern, Grossmutter und ein Bruder; vgl. A4, S. 1 ff.). Damit erweist sich die Rückkehr des Beschwerdeführers nach der aktuellen Lageanalyse jedenfalls in den Grossraum Colombo ohne weiteres als zumutbar, und es kann daher offenbleiben, ob darüber hinaus ebenfalls die Kriterien einer zumutbaren Rückkehr in die Region Jaffna (s. vorstehend E. 8.4.1) erfüllt wären. Da auch keine sonstigen gegen die Zumutbarkeit sprechenden Gründe vorliegen - der Beschwerdeführer ist jung und (soweit aktenkundig) gesund, hat einen guten Schulabschluss und Arbeitserfahrung als Selbstständigerwerbender im Handel (vgl. A4, S. 2), ist nicht zu befürchten, dass er bei der Rückkehr in seine Heimat in eine konkret existenzbedrohende Lage geraten könnte. Somit erweist sich der Vollzug der Wegweisung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5. August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