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D-4579/2008 vom 14. September 2009</w:t>
      </w:r>
    </w:p>
    <w:p>
      <w:r>
        <w:t>Bundesverwaltungsgericht, 2009-09-14, DE</w:t>
      </w:r>
    </w:p>
    <w:p>
      <w:r>
        <w:rPr>
          <w:b/>
        </w:rPr>
        <w:t xml:space="preserve">Quelle: </w:t>
      </w:r>
      <w:r>
        <w:t>https://mcp.opencaselaw.ch/entscheid/bvger_D-4579_2008</w:t>
      </w:r>
    </w:p>
    <w:p>
      <w:r>
        <w:t>FR: TAF D-4579/2008 du 14 septembre 2009</w:t>
      </w:r>
    </w:p>
    <w:p>
      <w:r>
        <w:t>IT: TAF D-4579/2008 del 14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Beschwerde vom 8. Juli 2008 machte der Beschwerdeführer im Wesentlichen geltend, entgegen seinen bisherigen Vorbringen anlässlich der Anhörung hege er einen klaren Verdacht in Bezug auf die Identität seiner Entführer. Seine Entführung und die Erpressung seien durch einen ihm namentlich bekannten Armeebeamten, den Chef eines Kontrollpostens in der Nähe von C._______, organisiert worden. Diesem Mann habe er im Zusammenhang mit früheren Lieferungen von grossen Warenmengen an die LTTE in C._______ immer wieder mit kleineren Schmiergeldzahlungen bestechen müssen. Als jedoch der Beschwerdeführer am 22. August 2007 den Armeebeamten zu einem Gespräch betreffend einen in Zahlungsrückstand geratenen Kunden gerufen habe, habe dieser unvermittelt eine grosse Summe - eine Million Rupien - mit der Begründung verlangt, er brauche diese Summe als Schutzgeld. Da der Beschwerdeführer nicht damit einverstanden gewesen sei, hätten ihn zwei Begleitpersonen des Armeebeamten mit einer Flasche spitalreif geschlagen. Erst nach drei Tagen sei er wieder aus dem Spital entlassen worden. Auch nach der Ausreise des Beschwerdeführers aus dem Heimatstaat sei seine Familie verschiedentlich von den Erpressern aufgesucht worden. Aufgrund verschiedener Umstände gehe er davon aus, er werde wegen seiner früheren Lieferantentätigkeit für die LTTE erpresst, und zwar durch Exponenten der staatlichen Sicherheitskräfte. Dementsprechend könne entgegen der Argumentation des BFM nicht davon ausgegangen werden, dass sich der Beschwerdeführer durch eine Anzeige bei der Polizei vor den Erpressern schützen könne. Im Lichte der neuesten Vorbringen des Beschwerdeführers werde verständlich, warum dieser auf eine Anzeige bei der Polizei verzichtet habe, hätte er doch damit rechnen müssen, dass die Polizei Armeeangehörige und Leute des CID (Criminal Investigation Department), welche auch involviert seien, zumindest passiv gedeckt hätte.</w:t>
      </w:r>
    </w:p>
    <w:p>
      <w:r>
        <w:rPr>
          <w:b/>
        </w:rPr>
        <w:t>E. 4.2.1</w:t>
      </w:r>
    </w:p>
    <w:p>
      <w:r>
        <w:t>In der Beschwerdeschrift vom 8. Juli 2008 wird vorweg ausgeführt, der Beschwerdeführer habe seinem Rechtsvertreter anlässlich zweier Gespräche vom 2. und 4. Juli 2008 in den Räumlichkeiten [seiner Rechtsvertretung] neue - d.h. von bisherigen Vorbringen abweichende - Informationen zur geltend gemachten Verfolgungssituation offenbart. Als Begründung für dieses Verhalten macht der Beschwerdeführer geltend, er habe die neuen Informationen anlässlich der direkten Anhörung vom 6. Mai 2008 durch das BFM aus Angst verschwiegen. Diese Argumentation steht indessen, wie bereits in der Zwischenverfügung vom 14. Juli 2008 ausgeführt, in einem gewissen Widerspruch zur Einreichung eines Asylgesuchs in der Schweiz, und vermag somit nicht zu überzeugen. Dies gilt erst recht für die Präzisierung in der Replik, er habe befürchtet, seine Familie gerate in Lebensgefahr, wenn er sich vor den schweizerischen Behörden wahrheitsgemäss äussere; wäre dem tatsächlich so gewesen, so wäre er kaum auf den unter solchen Umständen doch eher abwegigen Gedanken gekommen, ausgerechnet in der Schweiz um Asyl zu ersuchen, sondern hätte sein Gesuch von vornherein in einem anderen Staat deponiert. Es erübrigt sich an dieser Stelle, weiter auf die angebliche Angst des Beschwerdeführers einzugehen, zumal das in der Replik zitierte Urteil des Bundesverwaltungsgerichts E-6927/2006 vom 9. November 2007 eine andere Fallkonstellation und Praxis betrifft, aus der der Beschwerdeführer nichts zu seinen Gunsten ableiten kann. Dementsprechend drängt sich angesichts der Vorgehensweise des Beschwerdeführers der Eindruck auf, dieser habe lediglich den Versuch unternommen, mittels neuer Vorbringen den Sachverhalt an die Erwägungen der Vorinstanz anzupassen, indem er neue Sachverhaltselemente nachschob. Schon diese Vorgehensweise lässt die geltend gemachte Verfolgungssituation unglaubhaft erscheinen.</w:t>
      </w:r>
    </w:p>
    <w:p>
      <w:r>
        <w:rPr>
          <w:b/>
        </w:rPr>
        <w:t>E. 4.2.2</w:t>
      </w:r>
    </w:p>
    <w:p>
      <w:r>
        <w:t>Was die für die geltend gemachte Verfolgungssituation zentralen Ereignisse zwischen dem 27. Februar und 2. März 2008 anbelangt, ergeben sich aufgrund der Akten verschiedene Widersprüche. So machte der Beschwerdeführer anlässlich der direkten Anhörung geltend, seine Entführer hätten gleich nach der Entführung telefonischen Kontakt mit seiner Frau aufgenommen (A5/12 F35 S. 6). Folgerichtig begann seine Ehefrau, folgt man den Schilderungen des Beschwerdeführers weiter, bereits am Abend des 27. Februar 2008 mit dem Sammeln des Lösegeldes, weil sie im massgebenden Zeitpunkt das erforderliche Bargeld (ausnahmsweise) nicht zu Hause gehabt hätten (vgl. a.a.O. F42 - F44 S. 7). Erst am 2. März 2009 habe er mit seiner Frau telefonieren können und ihr bei dieser Gelegenheit mitgeteilt, sie solle nur zwei Millionen Rupien als Lösegeld auszahlen (vgl. a.a.O. F38 - F40 S. 6 und 7). Demgegenüber ist dem auf Beschwerdeebene eingereichten Brief vom 30. Juni 2008 der Ehefrau zu entnehmen, ihr Ehemann habe sich einen Betrag von 20 Millionen Rupien für einen bestimmten Zweck ("certain purpose") ausgeliehen und zu Hause aufbewahrt. Am 27. Februar 2008 habe sie noch mit ihrem Ehemann ein Telefongespräch geführt. Am gleichen Tag habe sich jemand gemeldet, der von ihr fünf Millionen Rupien als Lösegeld für ihren Ehemann gefordert habe. Sie habe in der Folge von ihrem Ehemann bis am 2. März 2008 nichts mehr gehört. An diesem Tag habe er sie angerufen und aufgefordert, zwei Millionen Rupien als Lösegeld zu übergeben. Wie diesen beiden Schilderungen zu entnehmen ist, widersprechen sich die Darstellungen bezüglich des Telefongesprächs vom 27. Februar 2008 sowie namentlich bezüglich der Frage, wie die Ehefrau zum Lösegeld kam, sei es durch eine Reihe von Darlehen verschiedener nahestehender Personen (A5/12 F44 S. 7) oder aber gewissermassen durch einen Griff in die Schublade. Da es sich bei der Entführung vom 27. Februar 2008 um das zentrale Ereignis der geltend gemachten Verfolgungssituation handelt, hätten die Vorbringen des Beschwerdeführers und seiner Ehefrau nicht nur in Bezug auf die Daten, sondern auch bezüglich weiterer wesentlicher Begleitumstände übereinstimmend ausfallen müssen, weshalb sich der Eindruck aufdrängt, der Beschwerdeführer habe die geltend gemachte Verfolgungssituation lediglich erfunden. Bezeichnenderweise gelang es dem Beschwerdeführer denn auch im Rahmen der auf Beschwerdeebene präsentierten "Noven" nicht, bestehende Unstimmigkeiten auszuräumen; vielmehr verstrickte er sich in zusätzliche Widersprüche. So machte er in der Beschwerde geltend, er habe den Armeebeamten am 22. August 2007 zu einem Gespräch betreffend einen in Zahlungsrückstand geratenen Kunden gerufen. Demgegenüber ist der ergänzenden Stellungnahme vom 4. März 2009 des Beschwerdeführers zu entnehmen, er habe den "Armeechef" am 22. August 2007 zufällig in C._______ getroffen. Da es sich bei der Schilderung des Zusammentreffens mit dem angeblichen Verfolger um einen wesentlichen Begleitumstand im Vorfeld der geltend gemachten Verfolgungssituation handelt, erhärtet sich der Eindruck, der Beschwerdeführer habe auch bei seinen "Noven" nicht auf Erinnerungen an tatsächliche Begebenheiten zurückgreifen können, sondern diese erfunden, um seinem Asylgesuch Nachdruck zu verleihen. Was schliesslich das in Aussicht gestellte Arztzeugnis anbelangt, so erübrigt es sich, dessen Eingang abzuwaren, zumal ein solches lediglich einen medizinischen Sachverhalt beschlägt und zwangsläufig keinen Aufschluss über die Begleitumstände geben kann , die zu einer Verletzung geführt haben. Analoges gilt bezüglich der eingereichten Farbfotos von der Narbe am Kopf.</w:t>
      </w:r>
    </w:p>
    <w:p>
      <w:r>
        <w:rPr>
          <w:b/>
        </w:rPr>
        <w:t>E. 4.3</w:t>
      </w:r>
    </w:p>
    <w:p>
      <w:r>
        <w:t>Zusammenfassend ist festzustellen, dass beim Beschwerdeführer keine Verfolgung im Sinne von Art. 3 AsylG vorliegt und er nicht als Flüchtling anerkannt werden kann. Mangels erfüllter Flüchtlingseigenschaft ist ihm zu Recht das nachgesuchte Asyl nicht gewährt worden. Bei dieser Sachlage erübrigt es sich, auf die weiteren Vorbringen und auf die als Beweismittel eingereichten Dokumente einzugehen, da sie nicht zu einer anderen Betrachtung führen können.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(BVGE 2008/2 E.7.6.1 S. 20). Der Beschwerdeführer lebte vom Jahre 1998 bis zur Ausreise aus dem Heimatstaat im Jahre 2008 in Colombo. Wie sich zudem aus den Akten ergibt, verfügt er in Colombo über ein tragfähiges familiäres oder soziales Beziehungsnetz (A1/9 S. 3 und 4), zumal zwei Brüder in Colombo leben. Ferner besteht begründete Aussicht auf eine gesicherte Einkommens- und Wohnsituation (A1/9 S. 2 und 3; A5/12 S. 7), zumal das von ihm aufgebaute Lebensmittelgeschäft nach wie vor weitergeführt wird und der Beschwerdeführer zu seiner Ehefrau zurückkehren kann, welche dort zumindest über eine Postadresse bei Bekannten oder Verwandten verfügt, beziehungsweise deren Mutter noch an der ehemaligen Wohnadresse des Beschwerdeführers wohnhaft zu sein scheint (vgl. Schreiben der Ehefrau vom 30. Juni 2008). Ansonsten sollte der Beschwerdeführer bei seinen Brüdern zumindest für die erste Zeit Unterkunft finden können. Der Vollzug der Wegweisung in seine Heimat ist für ihn zumutbar.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24. Juli 2008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