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D-4569/2014 vom 12. Januar 2015</w:t>
      </w:r>
    </w:p>
    <w:p>
      <w:r>
        <w:t>Bundesverwaltungsgericht, 2015-01-12, DE</w:t>
      </w:r>
    </w:p>
    <w:p>
      <w:r>
        <w:rPr>
          <w:b/>
        </w:rPr>
        <w:t xml:space="preserve">Quelle: </w:t>
      </w:r>
      <w:r>
        <w:t>https://mcp.opencaselaw.ch/entscheid/bvger_D-4569_2014</w:t>
      </w:r>
    </w:p>
    <w:p>
      <w:r>
        <w:t>FR: TAF D-4569/2014 du 12 janvier 2015</w:t>
      </w:r>
    </w:p>
    <w:p>
      <w:r>
        <w:t>IT: TAF D-4569/2014 del 12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begründete seine Verfügung zusammengefasst damit, dass aufgrund der oberflächlichen Aussagen und der fehlenden Kenntnisse der chinesischen Sprache grosse Zweifel an der angeblichen Herkunft aufgekommen seien. Die Angaben zum Alltagsleben in der Herkunftsregion seien ungenügend, realitätsfremd und zum Teil tatsachenwidrig. Beispielsweise habe der Beschwerdeführer bei vielen länderspezifischen Fragen entweder erklärt, die Antwort nicht zu kennen oder nur sehr knapp und ungenau geantwortet, insbesondere auch in Bezug auf das Kloster, seinen Gründer und den Alltag in ersterem, obwohl er während rund zehn Jahren in diesem gewohnt haben soll. Zudem habe er keine Ausweispapiere zu den Akten gegeben, welche die behauptete Herkunft oder den zurückgelegten Reiseweg zu belegen vermöchten und habe auch in diesem Zusammenhang unglaubhafte und widersprüchliche Aussagen gemacht. Seine fehlenden Chinesischkenntnisse und die Ausführungen, er sei nie mit Chinesen in Kontakt gekommen, seien ebenfalls nicht überzeugend, zumal er geltend gemacht habe, viele Leute in der Umgebung zu kennen. Ferner sei nicht nachvollziehbar, weshalb er überhaupt keine Möglichkeit haben soll, mit seiner Familie oder seinen Bekannten in Tibet Kontakt aufzunehmen. Die Feststellung, dass er mit aller Wahrscheinlichkeit nicht im von ihm behaupteten geografischen Raum gelebt habe, werde durch die unsubstanziierten und widersprüchlichen Aussagen zu den eigentlichen Gesuchsgründen bestätigt. Widersprüchlich seien die Angaben insofern gewesen, als dass er anlässlich der BzP erklärt habe, eine tibetische Flagge und ein Plakat aufgehängt zu haben, während er in der Anhörung ausgesagt habe, lediglich eine Flagge aufgehängt zu haben. Ferner habe er trotz mehrfacher Aufforderung, möglichst ausführlich von seiner Aktion zu berichten, lediglich ausgeführt, er habe zusammen mit einem Freund am 5. Juli 2012 am Abend bei einer Brücke unterhalb des Klosters eine tibetische Flagge aufgehängt. Zudem vermöge er seine Beweggründe nicht überzeugend darzulegen und wisse zu diesen nicht mehr zu sagen, als dass er die Flagge aufgehängt habe, weil er keine Religions- und Meinungsfreiheit habe und zudem die chinesischen Behörden und Leute durch die fragliche Aktion zu verändern versucht habe. Des Weiteren sei auch die Ausreise unglaubhaft vorgebracht worden. Gemäss BzP sei er am 10. Juli 2012 aus dem Kloster weggegangen und habe gleichentags sein Heimatland verlassen, während er anlässlich der Anhörung ausgeführt habe, er sei am Abend des 9. Juli 2012 vom Haus der Familie, bei welcher er sich versteckt habe, abgereist. Sodann sei die Ausführung, er habe am Abend des 9. Juli 2012 C._______ mit dem Auto verlassen, sei ab D._______ mit einem LKW weitergereist, von wo aus er zu Fuss die Grenze überquert habe, in Anbetracht der Tatsache, dass die Reise von D._______ bis zur Grenze mehrere hundert Kilometer betrage, realitätsfremd. Obwohl der Beschwerdeführer unbestrittenermassen tibetischer Ethnie sei, legten seine mangelhaften Länderkenntnisse, seine fehlenden Kennt­nisse der chinesischen Sprache, die fehlenden Identitätspapiere sowie die unglaubhaft vorgetragenen Ausführungen bezüglich seiner Asylgründe und Ausreise nahe, dass er nicht in der von ihm angegebenen Region sozialisiert worden sei. In der vorinstanzlichen Verfügung wird zudem auf das BVGE 2014/12 Bezug genommen. Um unnötige Wiederholungen zu vermeiden, kann auf die entsprechenden Erwägungen verwiesen werden.</w:t>
      </w:r>
    </w:p>
    <w:p>
      <w:r>
        <w:rPr>
          <w:b/>
        </w:rPr>
        <w:t>E. 5.2</w:t>
      </w:r>
    </w:p>
    <w:p>
      <w:r>
        <w:t>In seiner Eingabe vom 12. August 2014 erklärt der Beschwerdeführer, er könne schlecht mit seiner Familie in Tibet in Kontakt treten, weil diese dann unter Problemen leiden müsse und das wolle er ihnen nicht antun. 6.1 Das BFM hat das Asylgesuch des Beschwerdeführers zu Recht abgelehnt. 6.2 Im Länderurteil BVGE 2014/12 des Bundesverwaltungsgerichts präzisierte das 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Verunmögliche eine tibetische Asylsuchende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6.3 Aufgrund der Aktenlage besteht Grund zur Annahme, dass der Beschwerdeführer seine wahre Herkunft zu verschleiern versucht hat. Dabei kann zur Hauptsache auf die unterlassene Mitwirkungspflicht im Zusammenhang mit der Beschaffung von Ausweispapieren verwiesen werden. Diesbezüglich vermag die pauschale Behauptung, es sei ihm unmöglich, in Kontakt mit Familie oder Freunden zu treten, weil diese dann Probleme mit den Chinesen bekämen, nicht zu überzeugen, da sie im Widerspruch zum Umstand steht, dass es seinem Vater offenbar möglich war, im Kloster anzurufen, um über die Festnahme des Freundes zu informieren (A9, S. 8) und die Ausreise des Beschwerdeführers mit Hilfe eines Freundes telefonisch zu organisieren (A9, S. 9). Dass der Beschwerdeführer über keine Kontaktperson verfügen soll, mit deren Hilfe er mit seiner Familie oder seinen Freunden Kontakt aufnehmen könnte, kann vor diesem Hintergrund nicht geglaubt werden. Ausserdem legt der Beschwerdeführer nicht dar, weshalb es ihm nicht möglich gewesen sein soll, den anlässlich der Anhörung erwähnten Mönchsausweis mitzunehmen oder zumindest nachträglich zu beschaffen. Davon unbenommen verstrickt er sich noch in weitere Widersprüche, welche sich nachteilig auf die Glaubhaftigkeit seiner Vorbringen auswirken. Beispielsweise hat er anlässlich der Anhörung zunächst ausgeführt, er sei von seinem Vater über die Verhaftung seines Freundes informiert worden, der danach im Kloster angerufen habe, um über den Vorfall zu informieren (A9, S. 7). An anderer Stelle führte er allerdings aus, der Vater habe den Lehrer im Kloster angerufen, woraufhin er vom Lehrer über die Verhaftung des Freundes informiert worden sei (A9, S. 8). Der ersten Schilderung zufolge müsste er also zuhause bei seinem Vater gewesen sein oder zumindest an einem Ort ausserhalb des Klosters in Anwesenheit von letzterem. Hingegen müsste er sich - der zweiten Schilderung folgend - im Kloster aufgehalten haben, als der Vater angerufen hat, da er von seinem Lehrer über die angebliche Verhaftung seines Freundes informiert worden sein will. Hinzu kommt, dass er unterschiedliche Angaben machte, wann er das letzte Mal mit seiner Familie Kontakt gehabt haben soll, nämlich entweder, als er "hierher" angekommen sei (A9, S.3, Frage 17) oder als er sich noch in D._______ aufgehalten habe (A9, S.3, Frage 19). 6.4 Dem Beschwerdeführer ist es im Rahmen des rechtlichen Gehörs nicht gelungen, diese Widersprüche aufzuklären. Das blosse Festhalten an der Aussage, er könne mit niemandem in seiner Heimat in Kontakt treten, vermag diese Schlussfolgerung nicht zu entkräften. Schliesslich ist zu bemerken, dass der Beschwerdeführer überhaupt kein Chinesisch spricht, was ebenfalls als gewichtiges Indiz zu werten ist. So ist davon auszugehen, dass er im Rahmen seines Alltags mit anderen Leuten in Kontakt gekommen und dabei mit dem in der Umgangssprache gebräuchlichen Chinesisch konfrontiert worden wäre und sich mit dieser Sprache schliesslich auch vertraut gemacht haben dürfte. Jedenfalls ist festzuhalten, dass für das Fehlen von einfachstem Chinesisch keine nachvollziehbaren Gründe angebracht wurden. Die Erklärung, kein Chinesisch zu können, da er zeitlebens im Kloster gelebt habe, greift in Anbe­tracht der nicht unwesentlichen Durchdringung der Alltagssprache durch das Chinesische zu kurz, zumal er erst seit dem 12. oder 13. Lebensjahr Mönch sei (A4, S. 3) und davor zumindest elementarste Grundkenntnisse dieser Sprache erworben haben müsste. 6.5 Ferner wird die Annahme einer Täuschung über die tatsächliche Herkunft durch die Unglaubhaftigkeitsmomente in den Aussagen hinsichtlich der Vorfluchtgründe sowie der Ausreise bekräftigt. In diesen Punkten kann auf die zutreffenden Ausführungen in der vorinstanzlichen Verfügung verwiesen werden, welchen auf Beschwerdestufe nicht Substanzielles entgegnet wurde. 6.6 Schliesslich vermag auch das vom Beschwerdeführer eingereichte Bestätigungsschreiben diese Schlussfolgerungen nicht umzustossen, zu­mal die Vorinstanz bereits festgehalten hat, dass der Beschwerdeführer unbestrittenermassen Tibeter sei. 6.7 Gestützt auf eine Gesamtwürdigung dieser Elemente ist in Übereinstimmung mit dem BFM festzustellen, dass der Beschwerdeführer über seine Herkunft täuschende Angaben gemacht hat. In Anwendung der im BVGE 2014/12 E. 5.10 entwickelten Rechtsprechung hat das BFM daher zu Recht die Flüchtlingseigenschaft des Beschwerdeführers verneint und sein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Unter Hinweis auf die in Erwägung 6.2 skizzierte Rechtsprechung ist der Vollzug der Wegweisung für zulässig, zumutbar und möglich zu erachten.</w:t>
      </w:r>
    </w:p>
    <w:p>
      <w:r>
        <w:rPr>
          <w:b/>
        </w:rPr>
        <w:t>E. 8.3</w:t>
      </w:r>
    </w:p>
    <w:p>
      <w:r>
        <w:t>Nachdem diejenigen Tibeterinnen und Tibeter, die über die chinesische Staats­bürgerschaft verfügen, in Bezug auf China zumindest subjektive Nachfluchtgründe haben, weil sie als Unterstützer des Dalai Lama und damit als separatistisch gesinnte Oppositionelle betrachtet werden und - wiederum in Bezug auf China - die Flüchtlingseigenschaft erfüllen (vgl. BVGE 2009/29), ist in Übereinstimmung mit dem Dispositiv der angefochtenen Verfügung darauf hinzuweisen, dass für alle Exil-Tibeterin­nen und -Tibeter und somit auch für den Beschwerdeführer ein Vollzug der Wegweisung nach China auszuschliessen ist, da ihnen dort gegebenenfalls eine unmenschliche Behandlung im Sinne von Art. 3 EMRK droht.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Da das Gesuch um Gewährung der unentgeltlichen Rechtspflege im Sinne von Art. 65 Abs. 1 VwVG mit Zwischenverfügung vom 10. Oktober 2014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