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D-4568/2016 vom 15. März 2017</w:t>
      </w:r>
    </w:p>
    <w:p>
      <w:r>
        <w:t>Bundesverwaltungsgericht, 2017-03-15, DE</w:t>
      </w:r>
    </w:p>
    <w:p>
      <w:r>
        <w:rPr>
          <w:b/>
        </w:rPr>
        <w:t xml:space="preserve">Quelle: </w:t>
      </w:r>
      <w:r>
        <w:t>https://mcp.opencaselaw.ch/entscheid/bvger_D-4568_2016</w:t>
      </w:r>
    </w:p>
    <w:p>
      <w:r>
        <w:t>FR: TAF D-4568/2016 du 15 mars 2017</w:t>
      </w:r>
    </w:p>
    <w:p>
      <w:r>
        <w:t>IT: TAF D-4568/2016 del 15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erachtete die Vorbringen des Beschwerdeführers als unglaubhaft, weshalb es auf eine Prüfung der Asylrelevanz der Vorbringen verzichtete. So habe der Beschwerdeführer widersprüchliche Aussagen dazu gemacht, seit wann er von den Sicherheitsbehörden gesucht werde, indem er beispielsweise erst zu Protokoll gegeben habe, schon vor der Ausreise nach F._______ gesucht worden zu sein, später aber behauptet habe, er wisse nicht, ab wann er gesucht worden sei. Auffällig seien auch die Aussagen, weshalb der Beschwerdeführer gesucht würde. Allgemein behaupte der Beschwerdeführer, wegen Tätigkeiten für die Partei und seines Aufenthaltes in F._______ gesucht worden zu sein. Später habe der Beschwerdeführer angegeben, dass die Polizei das Parteihaus gestürmt und eine Liste, auf welcher die Parteimitglieder und ihre Tätigkeiten verzeichnet gewesen seien, mitgenommen habe, wobei der Beschwerdeführer erst kein Datum des Vorfalls habe nennen wollen und erst auf Nachhaken von Ende 2014 gesprochen habe. Es sei auch nicht nachvollziehbar, weshalb der Beschwerdeführer wegen seiner Einsätze für Jugendliche bei einer anerkannten Partei und wegen wohltätiger Arbeit für eine Hilfsorganisation in F._______ landesweit gesucht werden sollte. So habe der Beschwerdeführer auch nur allgemein und pauschal über die vermeintliche Suche der Behörden nach ihm berichten können. Widersprüchlich seien auch die Angaben gewesen, wie der Beschwerdeführer über die Suche nach ihm erfahren habe. Auch über den vermeintlichen Suchbefehl habe der Beschwerdeführer widersprüchliche und vage Aussagen gemacht.</w:t>
      </w:r>
    </w:p>
    <w:p>
      <w:r>
        <w:rPr>
          <w:b/>
        </w:rPr>
        <w:t>E. 4.2</w:t>
      </w:r>
    </w:p>
    <w:p>
      <w:r>
        <w:t>In der Beschwerde wird an der Glaubhaftigkeit des Vorbringens festgehalten, wonach der Beschwerdeführer von den türkischen Sicherheitsbehörden wegen seines parteipolitischen Engagements gesucht würde, und versucht, die Suche nach ihm mit dem Schreiben des türkischen Rechtsvertreters, dem von Polizei und Gendarmerie die Auskunft über die Suche nach dem Beschwerdeführer verweigert und das persönliche Erscheinen des Beschwerdeführers gefordert worden sei, zu belegen. Dieses Vorgehen zeige, dass die Behörden den Beschwerdeführer festnehmen wollten. Im Falle seiner Festnahme drohe ihm dann wegen seiner langjährigen politischen Aktivitäten und der Unterstützung der PKK (Arbeiterpartei Kurdistans) eine mehrjährige Freiheitsstrafe. In der Beschwerde wurde zudem betont, wie der Konflikt zwischen der türkischen Armee und PKK-Anhängern seit Juli 2016 eskaliert und es zu Militäroperationen in allen kurdischen Provinzen gekommen sei. Als Folge des Putschversuches von Juli 2016 sei es zudem zu Menschenrechtsverletzungen und Folter bei den Einvernahmen gekommen. Vor dem Hintergrund der neuen Entwicklung könne von einem fairen, rechtsstaatlichen Prozess keine Rede sein. Angesichts der verschlechterten Menschenrechtslage in der Türkei und des harten Vorgehens der türkischen Sicherheitskräfte gegen Mitglieder kurdischer Parteien müsse der im Visier der türkischen Sicherheitskräfte stehende Beschwerdeführer mit an Sicherheit grenzender Wahrscheinlichkeit mit weitergehender staatlicher Verfolgung rechnen.</w:t>
      </w:r>
    </w:p>
    <w:p>
      <w:r>
        <w:rPr>
          <w:b/>
        </w:rPr>
        <w:t>E. 4.3</w:t>
      </w:r>
    </w:p>
    <w:p>
      <w:r>
        <w:t>Der Vorinstanz ist darin zuzustimmen, dass die Vorbringen des Beschwerdeführers widersprüchlich und unsubstantiiert sind, weshalb nicht geglaubt werden kann, er sei zum Zeitpunkt der Ausreise aus den in Art. 3 AsylG genannten Gründen verfolgt worden. Vorab ist es grundsätzlich wenig verständlich, dass der Beschwerdeführer wegen seines Engagements in der Jugend- und Familienarbeit für die DBP, zumal diese eine legale Partei ist, und wegen seiner wohltätigen Arbeit für ein Hilfswerk in F._______ landesweit gesucht worden sein soll (vgl. act. A4, S. 7). Wobei das Parteiengagement angesichts dessen, dass der Beschwerdeführer, der sich mehrere Jahre für die DBP engagiert haben will, wenig Konkretes über die Partei und sein Wirken dort berichten kann (vgl. A4, S. 5, 6), in Frage gestellt werden muss. Ein eigentliches politisches Engagement im engeren Sinn schilderte der Beschwerdeführer denn auch nicht, vielmehr will er sich für Familien in Schwierigkeiten und Jugendliche, die Haschisch und Alkohol konsumiert hätten, eingesetzt haben (vgl. A4 S. 4). Bei einer angeblich landesweiten Suche ist es zudem kaum vorstellbar, dass der Beschwerdeführer, der sich vor der Ausreise mehrere Monate in D._______ und eine Woche in H._______ bei Verwandten aufgehalten habe, dort nicht von den Behörden behelligt worden sei (vgl. act. A4, S. 11, 12). Unklar ist auch, auf welche Weise und seit wann der Beschwerdeführer gesucht worden sein soll. In der BzP sagt er aus, nach seiner Rückkehr aus F._______ habe er gesehen, dass ein Suchbefehl gegen ihn ausgestellt worden sei (vgl. act. A3, S.6). In der Bundesanhörung heisst es hingegen, er habe von einem Freund und von seiner Mutter erfahren, dass er gesucht werde. Einen offiziellen Suchbefehl habe er nicht erhalten, ein solcher sei bestimmt bei der Behörde, müsste aber von ihm persönlich in Empfang genommen werden (vgl. act. A4, S. 11, 14). Wann er gemäss Aussagen des Freundes und der Mutter von den Sicherheitskräften gesucht worden sei, bleibt unklar (vgl. act. A4, S. 11). In der Bundesanhörung heisst es erst, er sei wegen seines Engagements für die Partei auch schon vor August 2015, demnach vor dem Aufenthalt in F._______, gesucht worden (vgl. act. A4, S. 4). Auf die Frage, warum er schon vorher gesucht worden sei, erwidert er sodann aber, er wisse nicht, seit wann er gesucht werde. Um nach weiteren Nachfragen zur Erklärung der Suche nach ihm bereits vor August 2015 vorzubringen, dass bei der Stürmung des Parteihauses Ende 2014 eine Liste der Parteimitglieder mit dem Verzeichnis der Tätigkeiten der Mitglieder beschlagnahmt worden sei (vgl. act. A4, S. 7, 8). Auf der anderen Seite habe er aber vor seiner Ausreise nach F._______, bis auf eine Verletzung durch die Polizei auf einer Kundgebung während der Schulzeit, keine persönlichen Probleme mit den Behörden gehabt (vgl. act. A4, S. 8). Unklar sind auch die Angaben zum Wohnsitz, wann der Beschwerdeführer zuletzt in seinem Elternhaus in C._______ beziehungsweise mit anderen Jugendlichen in einem Haus in C._______ und wann in D._______ gelebt haben will (vgl. act. A3, S. 4; act. A4, S. 3, 8, 9). Auch sprach er in der BzP im Zusammenhang mit der Suche nach ihm davon, dass seine Eltern ihm von mehreren Razzien im Elternhaus berichtet hätten, bei denen diese geschlagen worden seien (vgl. act. A3, S.6). In der Bundesanhörung hingegen ist nicht mehr die Rede von Razzien im Elternhaus, sondern nur davon, dass seine Eltern nicht in Ruhe gelassen worden seien (vgl. act. A4, S. 13). Statt seine persönliche Situation zu schildern beziehungsweise konkrete, auf ihn bezogene Antworten zu geben, sind seine Antworten in der Bundesanhörung oft ausweichend, auf Drittpersonen bezogen und pauschal (vgl. act. A4, S. 7, 12). Anlass zu Zweifeln an der Glaubhaftigkeit seiner Darstellung bildet auch die Aussage des Beschwerdeführers, wonach er sich deshalb so gut die Anzahl bestimmter Partei-Versammlungen habe merken können, weil ihm seine in der Schweiz lebenden Onkel bei Ferienaufenthalten in der Türkei geraten hätten, sich diese Sachen gut zu merken (vgl. act. A4, S. 6). Zudem vermochte der Beschwerdeführer keine Dokumente beizubringen, die auf eine behördliche Suche nach ihm schliessen würden. Entgegen seiner Auffassung vermag das eingereichte Anwaltsschreiben eine behördliche Suche nach ihm nicht zu beweisen, lässt sich diesem doch nur die Information entnehmen, Polizei und Gendarmerie hätten es abgelehnt, dem Rechtsanwalt aus C._______ Auskunft zu erteilen. Daraus im Umkehrschluss - wie in der Beschwerde - zu folgern, die Behörden würden die persönliche Anwesenheit des Beschwerdeführers fordern, da sie ihn suchten und festnehmen wollten (vgl. S. 5 der Beschwerde), stellt eine blosse Behauptung dar. Konstruiert erscheint im Zusammenhang mit dem Anwaltsschreiben zudem die Behauptung in der Beschwerde, der Beschwerdeführer müsse im Fall der Festnahme auch aufgrund seiner "Unterstützung der PKK" mit einer langjährigen Freiheitsstrafe rechnen (vgl. S. 5 der Beschwerde), da der Beschwerdeführer im vorinstanzlichen Verfahren neben seinem Engagement für die legale DBP keinerlei Vorbringen im Zusammenhang mit der PKK gemacht hat.</w:t>
      </w:r>
    </w:p>
    <w:p>
      <w:r>
        <w:rPr>
          <w:b/>
        </w:rPr>
        <w:t>E. 4.4</w:t>
      </w:r>
    </w:p>
    <w:p>
      <w:r>
        <w:t>Es ist somit festzuhalten, dass es dem Beschwerdeführer nicht gelungen ist, eine asylbeachtliche Verfolgungssituation wegen politischer Aktivitäten im Zeitpunkt seiner Ausreise aus der Türkei darzutun beziehungsweise glaubhaft zu machen.</w:t>
      </w:r>
    </w:p>
    <w:p>
      <w:r>
        <w:rPr>
          <w:b/>
        </w:rPr>
        <w:t>E. 4.5</w:t>
      </w:r>
    </w:p>
    <w:p>
      <w:r>
        <w:t>Asylsuchende sind auch dann als Flüchtlinge anzuerkennen, wenn sie erst aufgrund von Ereignissen nach ihrer Ausreise im Falle einer Rückkehr in ihren Heimat- oder Herkunftsstaat in flüchtlingsrechtlich relevanter Weise verfolgt würden. Im Falle der Türkei bleibt festzuhalten, dass sich im Zuge der Parlamentswahlen im Juni 2015 respektive im November 2015 und des gleichzeitigen Wiederaufflackerns des Kurdenkonflikts die Menschenrechtslage in der Türkei verschlechtert hat. Seit dem gescheiterten Putschversuch in der Nacht vom 15. auf den 16. Juli 2016 und insbesondere seit der Verhängung des Ausnahmezustands sind laut den am 19. August 2016 von UNO-Menschenrechtsexpertinnen und -experten gemachten Angaben eine Eskalation von Inhaftierungen und politischen Säuberungen festzustellen. Auch eine deutliche Zuspitzung des Kurdenkonflikts konnte beobachtet werden (vgl. hierzu gesamthaft das Urteil E-5347/2014 E. 5.6.2 des Bundesverwaltungsgerichts vom 16. November 2016). Allerdings ist auch diese, zeitlich nach der angefochtenen Verfügung, eingetretene Zuspitzung der politischen Lage in der Türkei vorliegend nicht geeignet, zugunsten des kurdischen Beschwerdeführers das Vorliegen objektiver beziehungsweise subjektiver Nachfluchtgründe nach Art. 54 AsylG zu bejahen, da einzig die Stellung des Asylgesuches in der Schweiz nicht zur Annahme führt, dass er bei der Rückkehr in sein Heimatland mit beachtlicher Wahrscheinlichkeit eine menschenrechtswidrige Behandlung zu befürchten hätte. Schliesslich hat der Beschwerdeführer nicht glaubhaft machen können, in der Vergangenheit in relevantem Umfang politisch oppositionell aktiv gewesen zu sein und im Visier der türkischen Sicherheitskräfte zu stehen, weshalb er von den türkischen Behörden kaum als staatsgefährdend eingestuft werden wird.</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zumal er nicht glaubhaft machen konnte, in der Türkei formell gesucht zu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 staat lässt den Wegweisungsvollzug zum heutigen Zeitpunkt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Vorliegend hat die Vorinstanz sich in der angefochtenen Verfügung bedauerlicherweise nicht explizit zur Heimatprovinz des Beschwerdeführers und zur Lageentwicklung im Südosten der Türkei seit dem Sommer 2015 geäussert. Im Sachverhalt der Verfügung ist lediglich davon die Rede, der Beschwerdeführer sei "ethnischer Kurde aus der Türkei", die Heimatprovinz wird nicht genannt. Bei der Prüfung der Zumutbarkeit des Wegweisungsvollzuges heisst es zur örtlichen Situation nur, dass die "im Heimatstaat herrschende politische Situation" nicht gegen die Zumutbarkeit der Rückführung in den Heimatstaat spreche, wobei weder die Heimatprovinz genannt wird, noch die aktuellen politischen Entwicklungen der Region angesprochen werden. Das SEM ist mit diesen nur rudimentären Erwägungen in der Verfügung zur Zumutbarkeit des Wegweisungsvollzuges seiner Begründungspflicht nur sehr knapp nachgekommen. Nach Art. 35 Abs. 1 VwVG ist die Behörde verpflichtet, schriftliche Verfügungen zu begründen. Die Begründungspflicht konkretisiert den Grundsatz des rechtlichen Gehörs (Art. 29 Abs. 2 BV). Sie gewährleistet den Verfügungsadressaten die Möglichkeit, wirksam Beschwerde zu führen, und verhindert, dass sich die Behörden von unsachgemässen Motiven leiten lassen (vgl. A. Kölz/I. Häner/M. Bertschi, Verwaltungsverfahren und Verwaltungsrechtspflege des Bundes, 3. Aufl., Zürich 2013, Rz. 629 ff.). Eine Verletzung der Begründungspflicht ist vorliegend allerdings nicht gegeben, weil es dem Beschwerdeführer möglich war, in seiner Beschwerde auf die aktuelle politische Lageentwicklung in der Türkei in Bezug auf die Durchführbarkeit des Wegweisungsvollzuges hinzuweisen und den Entscheid sachgerecht anzufechten (vgl. BGE 129 I 232 E. 3.2). Zudem kann auch unter Berücksichtigung des Wiederaufflammens des türkisch-kurdischen Konfliktes und der bewaffneten Auseinandersetzungen zwischen der Kurdischen Arbeiterpartei (PKK) und staatlichen Sicherheitskräften seit Juli 2015 in verschiedenen weiteren Provinzen im Südosten des Landes, zu denen die Heimatprovinz D._______ des Beschwerdeführers gehört (im einzelnen I._______, D._______, J._______, K._______, L._______, und M._______), und der Entwicklungen nach dem Militärputschversuch vom 15./16. Juli 2016 gemäss konstanter Praxis nicht von einer Situation allgemeiner Gewalt oder bürgerkriegsähnlichen Verhältnissen (auch nicht für Angehörige der kurdischen Ethnie) gesprochen werden. Dies gilt abgesehen von den beiden Provinzen Hakkari und Sirnak, in welche der Wegweisungsvollzug generell unzumutbar ist (vgl. BVGE 2013/2 E. 9.6). Insofern genügten die vorinstanzlichen Erwägungen in der vorinstanzlichen Verfügung, zusammen mit den in der Vernehmlassung getätigten Ergänzungen, wonach auch nach dem Militärputschversuch von Juli 2016 in der Türkei keine landesweite Situation allgemeiner Gewalt vorläge, der Begründungspflicht, wenn auch nur knapp. Zumal sich die verfügende Behörde nicht ausdrücklich mit jeder tatbestandlichen Behauptung und jedem rechtlichen Einwand auseinandersetzen muss, sondern sich auf die wesentlichen Gesichtspunkte beschränken darf (vgl. BGE 126 I 97 E. 2b; BVGE 2013 E. 4.1, 2008/47 E. 3.2). Zusätzlich bleibt darauf hinzuweisen, dass der Beschwerdeführer sich angesichts der Niederlassungsfreiheit in der Türkei auch statt im Südosten der Türkei beispielsweise in Istanbul niederlassen könnte, wo er sich vor seiner Ausreise bereits bei Verwandten aufgehalten hat (vgl. act. A4, S. 3).</w:t>
      </w:r>
    </w:p>
    <w:p>
      <w:r>
        <w:rPr>
          <w:b/>
        </w:rPr>
        <w:t>E. 6.4.3</w:t>
      </w:r>
    </w:p>
    <w:p>
      <w:r>
        <w:t>Sodann sprechen auch keine individuellen Gründe gegen die Zumutbarkeit der Wegweisung in die Türkei. Die psychischen Probleme, die der Beschwerdeführer als Folge des Erlebten vorbringt (vgl. act. A3, S. 7), sollen zwar nicht in Abrede gestellt werden, auch wenn der Beschwerdeführer sich in der Schweiz anscheinend nicht in ärztlicher Behandlung befindet. Seine gesundheitlichen Probleme dürften allerdings, wie die Vorinstanz zu Recht anmerkt, auch im Heimatland behandelbar sein und stehen der Zumutbarkeit des Wegweisungsvollzuges nicht entgegen. Der Beschwerdeführer verfügt mit seinen zahlreichen Familienangehörigen, weiteren Verwandten (vgl. act. A4, S. 3) und Freunden (vgl. act. A4, S. 5) im Heimatland über ein grosses Beziehungsnetz und dürfte somit in sozialer und wirtschaftlicher Hinsicht keine Schwierigkeiten haben, sich dort wieder zu integrieren, zumal er eine höhere Schulbildung hat und sich seinen Lebensunterhalt durch Gelegenheitsarbeiten im Gastronomiebereich selber finanzieren konnte (vgl. act. A4, S. 4).</w:t>
      </w:r>
    </w:p>
    <w:p>
      <w:r>
        <w:rPr>
          <w:b/>
        </w:rPr>
        <w:t>E. 6.4.4</w:t>
      </w:r>
    </w:p>
    <w:p>
      <w:r>
        <w:t>Insgesamt bestehen keine konkreten Hinweise dafür, dass der Beschwerdeführer bei einer Rückkehr in die Türkei in eine existenzielle Notlage geraten wird. Damit erweist sich der Wegweisungsvollzug als zumutbar.</w:t>
      </w:r>
    </w:p>
    <w:p>
      <w:r>
        <w:rPr>
          <w:b/>
        </w:rPr>
        <w:t>E. 6.5</w:t>
      </w:r>
    </w:p>
    <w:p>
      <w:r>
        <w:t>Schliesslich obliegt es dem Beschwerdeführer, sich bei der zuständigen Vertretung des Heimatstaates die für eine Rückkehr notwendigen Reisedokumente zu beschaffen, sollte die eingereichte Identitätskarte im Original dafür nicht ausreichen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