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D-4565/2019 vom 8. Oktober 2019</w:t>
      </w:r>
    </w:p>
    <w:p>
      <w:r>
        <w:t>Bundesverwaltungsgericht, 2019-10-08, DE</w:t>
      </w:r>
    </w:p>
    <w:p>
      <w:r>
        <w:rPr>
          <w:b/>
        </w:rPr>
        <w:t xml:space="preserve">Quelle: </w:t>
      </w:r>
      <w:r>
        <w:t>https://mcp.opencaselaw.ch/entscheid/bvger_D-4565_2019</w:t>
      </w:r>
    </w:p>
    <w:p>
      <w:r>
        <w:t>FR: TAF D-4565/2019 du 8 octobre 2019</w:t>
      </w:r>
    </w:p>
    <w:p>
      <w:r>
        <w:t>IT: TAF D-4565/2019 del 8 ottobre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Bereich des Ausländerrechts zudem auch auf Unangemessenheit (Art. 49 VwVG).</w:t>
      </w:r>
    </w:p>
    <w:p>
      <w:r>
        <w:rPr>
          <w:b/>
        </w:rPr>
        <w:t>E. 2.2</w:t>
      </w:r>
    </w:p>
    <w:p>
      <w:r>
        <w:t>Für das vorliegende Verfahren gilt das bisherige Recht (vgl. Abs. 1 der Übergangsbestimmungen zur Änderung des AsylG vom 25. September 2015).</w:t>
      </w:r>
    </w:p>
    <w:p>
      <w:r>
        <w:rPr>
          <w:b/>
        </w:rPr>
        <w:t>E. 2.3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2.4</w:t>
      </w:r>
    </w:p>
    <w:p>
      <w:r>
        <w:t>Die Beschwerde erweist sich als offensichtlich unbegründet und ist im Verfahren einzelrichterlicher Zuständigkeit mit Zustimmung einer zweiten Richterin respektive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Entgegen der Beanstandung durch den Beschwerdeführer (vgl. Beschwerde, S. 12) hat die Vorinstanz die Beweisregel von Art. 7 AsylG nicht zu restriktiv gehandhabt. Das SEM hat zu Recht Ungereimtheiten, einen fehlenden Realitätsbezug und eine unzureichende Substanz in den Aussagen des Beschwerdeführers festgestellt. Die Würdigung dieser Unzulänglichkeiten als Erkennungsmerkmale für die Unglaubhaftigkeit der betreffenden Vorbringen im Sinne von Art. 7 Abs. 3 AsylG ist nicht zu beanstanden. So hat sich der Beschwerdeführer in Übereinstimmung mit der Vorinstanz Ungereimtheiten hinsichtlich der Art und Weise entgegenhalten zu lassen, in welcher er gemäss seinen Angaben von den sri-lankischen Behörden behelligt worden sein will. Im Gegensatz zu seinen Aussagen in der Summarbefragung, dass er von Angehörigen des CID am (...) zu Hause aufgesucht und am (...) eine Nacht inhaftiert worden sei, sonst aber keine Probleme mit den Behörden gehabt habe (vgl. act. A4/14, S. 8 ff.), liess er in der Anhörung verlauten, dass er bereits im (...) von den Behörden zu Hause aufgesucht, mehrfach schikaniert und mit dem Tod bedroht und der Mitschuld am Verschwinden einer (...) bezichtigt worden sei (vgl. act. A15/21, S. 10). Diese Ungereimtheiten werden in der Beschwerde trotz darauf Bezug nehmender Einwendungen (vgl. daselbst, S. 9 und 10) nicht aufgelöst und lassen sich nicht schlüssig auf eine angebliche Beeinflussung durch den Dolmetscher zurückführen, zumal sich in den Protokollen keine solchen Hinweise finden lassen. In der Tat ist von einem Menschen, der über aussergewöhnliche und zwangsläufig einprägsame Erlebnisse wie behördliche Nachstellungen und Todesdrohungen berichtet, natürlicherweise zu erwarten, dass er das Naheliegende in den Vordergrund stellt. Demnach ist es schlechterdings nicht nachvollziehbar, dass der Beschwerdeführer anlässlich der - vergleichsweise ausführlichen - Summarbefragung diese Vorfälle nicht erwähnt hat. Sodann ist mit der Vorinstanz einig zu gehen, dass die Aussagen des Beschwerdeführers zu den angeblich durch die sri-lankischen Behörden gegen ihn gerichteten Repressalien grundsätzlich als substanzarm bezeichnet werden müssen, er - entgegen der Beschwerde (vgl. daselbst, S. 12) - mithin anlässlich der Befragungen keine vertieften, mit Realkennzeichen versehene Sachverhaltsschilderungen machte. Beispielhaft hierzu aufzuführen sind seine Ausführungen zu seiner angeblich erlebten Inhaftierung durch das CID. Der Beschwerdeführer nannte zwar auf Rückfrage gewisse Eckpunkte (Datum, Zeit, Örtlichkeiten) seiner Inhaftierung, liess aber klare Aussagen, durch welche die jeweiligen Interaktionen und seine eigene Teilnahme am Geschehen wie insbesondere körperliche Empfindungen und psychische Vorgänge widerspiegelt worden wären, gänzlich vermissen (vgl. act. A15/21, S. 17). Die Sichtweise in der Beschwerde (vgl. daselbst, S. 11), wonach die Ausführungen des Beschwerdeführers den Umständen entsprechend detailliert gewesen seien, findet in den Protokollen keine Bestätigung. Folgerichtig ist hinlänglich auszuschliessen, dass der Beschwerdeführer in der behaupteten Weise durch das CID gefangen gehalten wurde. Es erscheint nach dem Gesagten auch bezeichnend, dass die Ausführungen des Beschwerdeführers zu den angeblich verfolgungsauslösenden Vorbringen an sich (Entgegennahme und Weitergabe von Spendengeldern) äusserst rudimentär - mithin unglaubhaft - ausgefallen sind, was auch die Vorinstanz zutreffend erkannt hat (vgl. act. A20/11, S. 5). Aufgrund des Erwogenen lässt sich das Fazit ziehen, dass der Beschwerdeführer die wesentlichen Teile seiner Gesuchsbegründung weder nachzuweisen noch glaubhaft im Sinne von Art. 7 Abs. 2 und 3 AsylG zu machen vermag. Die Vorinstanz durfte dementsprechend davon absehen, die vom Beschwerdeführer genannten Gesuchsgründe auf ihre asylrechtliche Relevanz hin zu überprüfen (vgl. Art. 7 Abs. 1 AsylG). Angesichts der aufgezeigten Sachlage erübrigt es sich, auf weitere Einwendungen in der Beschwerde einzugehen, da diese nicht geeignet sind, eine andere Einschätzung in der Frage der Glaubhaftmachung eines unter dem Blickwinkel von Art. 3 AsylG relevanten Sachverhalts herbeizuführen. 4.2 Es liegen auch keine Risikofaktoren vor (vgl. zu diesen Faktoren Urteil des Bundesverwaltungsgerichts E-1866/2015 vom 15. Juli 2016 E. 9.2.4 [als Referenzurteil publiziert]), die für den Beschwerdeführer die ernsthafte Gefahr begründeten, bei einer Rückkehr nach Sri Lanka Verfolgungsmassnahmen ausgesetzt zu werden. Nachdem die Asylvorbringen des Beschwerdeführers unglaubhaft ausgefallen sind, er selbst keine Verbindungen zu den LTTE aufweist respektive keine solchen Verbindungen glaubhaft machen konnte, erfüllt er keine stark risikobegründenden Faktoren im Sinne der oben zitieren Rechtsprechung. Die angebliche Tätigkeit seines Vaters für die LTTE und die verwandtschaftlichen Beziehungen zu verschiedenen früheren LTTE-Kämpfern lassen ebenfalls nicht auf eine Gefährdung des Beschwerdeführers schliessen, zumal den Akten keine konkreten Hinweise auf eine Reflexverfolgung zu entnehmen sind. Für eine entsprechende Annahme besteht auch kein konkreter Anlass. Weiter wurde der Beschwerdeführer keiner Straftat angeklagt oder verurteilt und verfügt somit auch nicht über einen Strafregistereintrag. Alleine aus der tamilischen Ethnie und der Landesabwesenheit kann er keine Gefährdung ableiten. Aufgrund der Aktenlage ist somit nicht ersichtlich, weshalb der Beschwerdeführer bei einer Rückkehr nach Sri Lanka nunmehr in den Fokus der Behörden geraten sollte. Soweit er dennoch von den Behörden registriert wurde, bleibt festzuhalten, dass eine allfällige Befragung am Flughafen in Colombo und Kontrollmassnahmen an seinem Heimatort keine asylrelevanten Verfolgungsmassnahmen darstellen. 4.3 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 5.Gemäss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hinweist,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 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6.3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01.05.2019; New York Times [NYT], What We Know and Don't Know About the Sri Lanka Attacks, https://www.nytimes.com/2019/04/22/world/asia/sri-lanka-attacks-bombings-explosions-updates.html?action=click&amp;module=Top%20Stories&amp;pgtype=Homepage, abgerufen 01.05.2019) nichts zu ändern. Der Beschwerdeführer stammt ursprünglich aus C._______ (Vanni-Gebiet) und lebte zuletzt in B._______ (Vanni-Gebiet). Der Vollzug in dieses Gebiet ist gemäss gefestigter Rechtsprechung grundsätzlich zumutbar. In vorliegenden Fall sprechen sodann keine individuellen Gründe gegen einen Wegweisungsvollzug. Beim Beschwerdeführer handelt es sich um einen jungen Mann mit guter Schulbildung und Berufserfahrung (inkl. Führungserfahrung) in verschiedenen Bereichen (vgl. act. A4/11, S. 4). Es ist anzunehmen, dass er mit seiner Schulbildung und Berufserfahrung nach seiner Rückkehr wieder eine Arbeitsstelle finden und ihm die wirtschaftliche Wiedereingliederung gelingen wird. Des Weiteren verfügt er in Sri Lanka mit seiner Familie (Eltern, Geschwister, Onkel, Tanten) über ein tragfähiges Beziehungsnetz und eine gesicherte Wohnsituation (vgl. act. A4/11, S. 4 und 6). Sein Vater dürfte ausserdem über ausreichend finanzielle Mittel zur Unterstützung des Beschwerdeführers, sollte er darauf angewiesen sein, verfügen, zumal er ihm bereits die Reise in die Schweiz mitfinanziert hat (vgl. act. A4/11, S. 9). Der Vollzug der Wegweisung erweist sich somit als zumutbar.</w:t>
      </w:r>
    </w:p>
    <w:p>
      <w:r>
        <w:rPr>
          <w:b/>
        </w:rPr>
        <w:t>E. 6.4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6.5</w:t>
      </w:r>
    </w:p>
    <w:p>
      <w:r>
        <w:t>Die Vorinstanz hat den Vollzug demnach zu Recht als zulässig, zumutbar und möglich erachtet. Damit fällt die Anordnung der vorläufigen Aufnahme ausser Betracht (Art. 83 Abs. 1-4 AIG). 7.Aus diesen Erwägungen ergibt sich, dass die angefochtene Verfügung Bundesrecht nicht verletzt und auch sonst nicht zu beanstanden ist (Art. 106 AsylG und Art. 49 VwVG). Die Beschwerde ist abzuweisen.</w:t>
      </w:r>
    </w:p>
    <w:p>
      <w:r>
        <w:rPr>
          <w:b/>
        </w:rPr>
        <w:t>E. 8</w:t>
      </w:r>
    </w:p>
    <w:p>
      <w:r>
        <w:t>Bei diesem Ausgang des Verfahrens sind die Kosten dem Beschwerdeführer aufzuerlegen und auf insgesamt Fr. 750.- festzusetzen (Art. 1-3 des Reglements vom 21. Februar 2008 über die Kosten und Entschädigungen vor dem Bundesverwaltungsgericht [VGKE, SR 173.320.2]). Mit dem vorliegenden Urteil ist der Antrag auf Bewilligung der Ratenzahlung im Falle einer Kostenvorschusserhebung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