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D-4563/2014 vom 27. August 2014</w:t>
      </w:r>
    </w:p>
    <w:p>
      <w:r>
        <w:t>Bundesverwaltungsgericht, 2014-08-27, DE</w:t>
      </w:r>
    </w:p>
    <w:p>
      <w:r>
        <w:rPr>
          <w:b/>
        </w:rPr>
        <w:t xml:space="preserve">Quelle: </w:t>
      </w:r>
      <w:r>
        <w:t>https://mcp.opencaselaw.ch/entscheid/bvger_D-4563_2014</w:t>
      </w:r>
    </w:p>
    <w:p>
      <w:r>
        <w:t>FR: TAF D-4563/2014 du 27 août 2014</w:t>
      </w:r>
    </w:p>
    <w:p>
      <w:r>
        <w:t>IT: TAF D-4563/2014 del 27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Bundesamt konnte ein im Ausland gestelltes Asylgesuch ablehnen, wenn die asylsuchende Person keine Verfolgung glaubhaft machen konnte oder ihr die Aufnahme in einem Drittstaat zugemutet werden konnte (Art. 3, Art. 7 und AsylG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w:t>
      </w:r>
    </w:p>
    <w:p>
      <w:r>
        <w:rPr>
          <w:b/>
        </w:rPr>
        <w:t>E. 6.1</w:t>
      </w:r>
    </w:p>
    <w:p>
      <w:r>
        <w:t>Die Beschwerdeführerin wurde nicht zu ihrem Asylgesuch befragt. Ihr wurde jedoch mit Zwischenverfügung des BFM vom (...) ein Katalog von für die vollständige Erstellung des rechtserheblichen Sachverhalts noch zu beantwortenden offenen Fragen zugestellt, wozu sie am (...) schriftlich Stellung nahm (vgl. Sachverhalt A.c und d). Der entscheidwesentliche Sachverhalt erscheint angesichts der schriftlichen Darlegung der Asylgründe soweit erstellt, dass die entscheidrelevanten Elemente vorliegen.</w:t>
      </w:r>
    </w:p>
    <w:p>
      <w:r>
        <w:rPr>
          <w:b/>
        </w:rPr>
        <w:t>E. 6.2</w:t>
      </w:r>
    </w:p>
    <w:p>
      <w:r>
        <w:t>Bei dieser Sachlage bestand keine Veranlassung, die Beschwerdeführerin vorgängig eines Entscheides durch eine schweizerische Vertretung zusätzlich persönlich anhören zu lassen. Das BFM hat - mithin in diesem Punkt - den verfahrensrechtlichen Anforderungen damit Genüge getan.</w:t>
      </w:r>
    </w:p>
    <w:p>
      <w:r>
        <w:rPr>
          <w:b/>
        </w:rPr>
        <w:t>E. 7.1</w:t>
      </w:r>
    </w:p>
    <w:p>
      <w:r>
        <w:t>Das BFM führte zur Begründung seiner Verfügung im Wesentlichen aus, den Akten seien keine konkreten oder glaubhaft dargelegten Anhaltspunkte dafür zu entnehmen, dass die Beschwerdeführerin zum Zeitpunkt der Ausreise aus Eritrea ernstzunehmende Schwierigkeiten mit den eritreischen Behörden gehabt hätte oder ihr solche gedroht hätten. Namentlich habe sie sich damals in einem einmonatigen, bewilligten Urlaub befunden, weshalb davon ausgegangen werden könne, dass ihr keine Sanktionen durch die eritreischen Behörden gedroht hätten. Der Vollständigkeit halber sei darauf hinzuweisen, dass es der Beschwerdeführerin zuzumuten sei, sich beim UNHCR zu melden, falls ihre Situation tatsächlich kritisch sein sollte. Zwar sei davon auszugehen, dass die Beschwerdeführerin ihren Heimatstaat illegal verlassen habe. Dabei handle es sich um einen subjektiven Nachfluchtgrund im Sinne von Art. 54 AsylG. Diese Gesetzesbestimmung schliesse Personen von der Asylgewährung aus, welche erst durch ihre Flucht oder durch ein Verhalten nach der Flucht Flüchtlinge geworden seien. Bei einem Ausschluss der Asylgewährung könne im Hinblick auf die auszusprechende Wegweisung keine Einreisebewilligung erteilt werden. Die Erteilung einer solchen an Personen, welche nach den gesetzlichen Bestimmungen wieder weggewiesen werden müssten, widerspreche praxisgemäss (vgl. BVGE 2011/10 E. 7) der gesetzlichen Logik. Zusammenfassend sei festzuhalten, dass keine glaubhaft dargelegten Anhaltspunkte dafür vorliegen würden, dass die Beschwerdeführerin zum Zeitpunkt der Ausreise von einreiserelevanten Nachteilen bedroht worden sei. Damit erübrige sich eine Prüfung der weiteren Voraussetzungen der Erteilung einer Einreisebewilligung im asylrechtlichen Auslandsverfahren.</w:t>
      </w:r>
    </w:p>
    <w:p>
      <w:r>
        <w:rPr>
          <w:b/>
        </w:rPr>
        <w:t>E. 7.2</w:t>
      </w:r>
    </w:p>
    <w:p>
      <w:r>
        <w:t>In der Beschwerde wird vorweg eingewendet, die Beschwerdeführerin sei durch die Reise in den Sudan aus Sicht der eritreischen Behörden zu einer Landesverräterin geworden, die sich ihrer Pflicht zum Wehrdienst verweigere. Ob sie sich in einem Urlaub vom Wehrdienst befunden habe oder nicht, sei völlig unerheblich. Tatsache sei, dass sie zum Zeitpunkt ihrer Flucht aus Eritrea Angehörige der eritreischen Armee gewesen sei, desertiert sei und das Land illegal verlassen habe. Deshalb habe sie entgegen der Annahme des BFM begründete Furcht, bei einer Rückkehr in ihren Heimatstaat erheblichen Nachteilen im Sinne von Art. 3 AsylG ausgesetzt zu werden. Das Bundesamt habe diesen Sachverhalt verkannt. Deshalb habe es auch unterlassen, die weiteren Voraussetzungen der Erteilung einer Einreisebewilligung zu prüfen. Sollte dieser Mangel durch das BFM im Beschwerdeverfahren geheilt werden, sei die angefochtene Verfügung dennoch aufzuheben und der Beschwerdeführerin zwecks Durchführung eines ordentlichen Asylverfahrens die Einreisebewilligung in die Schweiz zu erteilen. Sollte der Mangel nicht geheilt werden können, sei eventualiter die Sache zur erneuten Entscheidung an die Vorinstanz zurückzuweisen (...).</w:t>
      </w:r>
    </w:p>
    <w:p>
      <w:r>
        <w:rPr>
          <w:b/>
        </w:rPr>
        <w:t>E. 7.3</w:t>
      </w:r>
    </w:p>
    <w:p>
      <w:r>
        <w:t>Diese Einwände der Beschwerdeführerin treffen grundsätzlich zu. Gemäss dem von der Vorinstanz unbestrittenen Sachverhalt wurde das Gesuch der Beschwerdeführerin um Entlassung aus dem Nationaldienst, nachdem sie diesen während (...) Monaten als Soldatin geleistet hatte, abgelehnt. Mithin befand sie sich, als sie sich in ihrem Urlaub auf den Weg zur sudanesischen Grenze machte, weiterhin im Nationaldienst beziehungsweise im Sinne der asylrechtlichen Praxis in konkretem Kontakt mit den mit der Durchsetzung der Dienstpflicht betrauten Organen des eritreischen Staates (vgl. Entscheidungen und Mitteilungen der Schweizerischen Asylrekurskommission [EMARK] 2006 Nr. 3 E. 4.10 und 4.11 S. 39 ff.). Sie hätte zweifellos flüchtlingsrechtlich relevante Nachteile zu gewärtigen gehabt, wenn sie, als sie sich in der Absicht, sich dem weiteren Nationaldienst im Ausland zu entziehen, auf dem Weg zur eritreisch-sudanesischen Grenze von den Behörden ihres Heimatstaates aufgegriffen worden wäre.</w:t>
      </w:r>
    </w:p>
    <w:p>
      <w:r>
        <w:rPr>
          <w:b/>
        </w:rPr>
        <w:t>E. 7.4</w:t>
      </w:r>
    </w:p>
    <w:p>
      <w:r>
        <w:t>Zusammenfassend ist festzuhalten, dass die Beschwerdeführerin bereits wegen ihrer Desertion auf eritreischem Territorium begründete Furcht vor ernstzunehmenden Schwierigkeiten im Sinne von Art. 3 AsylG mit den eritreischen Behörden gehabt hatte. Indem in der angefochtenen Verfügung festgestellt wurde, dass die Beschwerdeführerin erst durch ihre illegale Ausreise Flüchtling geworden sei und damit einen subjektiven Nachfluchtgrund verwirklicht habe, hat das BFM mit der falschen Anwendung der Art. 3 und 54 AsylG Bundesrecht verletzt, weshalb die Vorinstanz in der Folge die Prüfung der Frage der Zumutbarkeit des Verbleibs der Beschwerdeführerin im Drittstaat Sudan zu Unrecht unterlassen hat. Bei dieser Sachlage kann die Prüfung der Frage offenbleiben, ob das BFM in casu auch aufgrund einer unzutreffenden oder unvollständigen Sachverhaltsgrundlage entschieden hat und die angefochtene Verfügung auch diesbezüglich nicht weiter Bestand hätte haben können.</w:t>
      </w:r>
    </w:p>
    <w:p>
      <w:r>
        <w:rPr>
          <w:b/>
        </w:rPr>
        <w:t>E. 8</w:t>
      </w:r>
    </w:p>
    <w:p>
      <w:r>
        <w:t>Nach dem Gesagten ist die Beschwerde gutzuheissen, soweit die Aufhebung der angefochtenen Verfügung beantragt worden ist. Die angefochtene Verfügung vom 11. Juli 2014 ist aufzuheben und die Sache (unter Prüfung der Frage der Zumutbarkeit des Verbleibs der Beschwerdeführerin im Drittstaat Sudan) zur Neubeurteilung an das BFM zurückzuweisen. Angesichts der vollständigen Aufhebung der vorinstanzlichen Verfügung kann dahingestellt bleiben, ob das BFM zu Recht das Asylgesuch aus dem Ausland abgewiesen und die Einreise verweigert hat.</w:t>
      </w:r>
    </w:p>
    <w:p>
      <w:r>
        <w:rPr>
          <w:b/>
        </w:rPr>
        <w:t>E. 9.1</w:t>
      </w:r>
    </w:p>
    <w:p>
      <w:r>
        <w:t>Mit dem vorliegenden Entscheid in der Hauptsache ist das Gesuch um Verzicht auf die Erhebung eines Kostenvorschusses gegenstandslos geworden.</w:t>
      </w:r>
    </w:p>
    <w:p>
      <w:r>
        <w:rPr>
          <w:b/>
        </w:rPr>
        <w:t>E. 9.2</w:t>
      </w:r>
    </w:p>
    <w:p>
      <w:r>
        <w:t>Bei diesem Ausgang des Verfahrens sind keine Verfahrenskosten aufzuerlegen (Art. 63 Abs. 3 VwVG), womit auch das Gesuch um Gewährung der unentgeltlichen Rechtspflege (Art. 65 Abs. 1 VwVG) gegenstandslos wird.</w:t>
      </w:r>
    </w:p>
    <w:p>
      <w:r>
        <w:rPr>
          <w:b/>
        </w:rPr>
        <w:t>E. 9.3</w:t>
      </w:r>
    </w:p>
    <w:p>
      <w:r>
        <w:t>Der vertretenen Beschwerdeführerin ist angesichts ihres Obsiegens eine Parteientschädigung für die ihr erwachsenen notwendigen und verhältnismässig hohen Kosten zuzusprechen (Art. 64 VwVG i.V.m. Art. 37 VGG und Art. 7 Abs. 1 des Reglements vom 21. Februar 2008 über die Kosten und Entschädigungen vor dem Bundesverwaltungsgericht [VGKE, SR 173.320.2]), womit das Gesuch um amtliche Rechtsverbeiständung (Art. 110a Abs. 1 Bst. a AsylG) ebenfalls gegenstandslos wird. Bisher wurde keine Kostennote zu den Akten gereicht. Auf das Nachfordern einer solchen kann indes verzichtet werden, da sich der notwendige Vertretungsaufwand aufgrund der Akten hinreichend zuverlässig abschätzen lässt (Art. 14 Abs. 2 VGKE). Der Beschwerdeführerin ist gestützt auf die in Betracht zu ziehenden Bemessungsfaktoren (Art. 8-13 VGKE) eine Parteientschädigung von Fr. (...) (inkl. Auslagen und allfällige Mehrwertsteuer) zuzusprechen. Das BFM ist anzuweisen, der Beschwerdeführerin den genannten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