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D-455/2015 vom 9. Februar 2015</w:t>
      </w:r>
    </w:p>
    <w:p>
      <w:r>
        <w:t>Bundesverwaltungsgericht, 2015-02-09, DE</w:t>
      </w:r>
    </w:p>
    <w:p>
      <w:r>
        <w:rPr>
          <w:b/>
        </w:rPr>
        <w:t xml:space="preserve">Quelle: </w:t>
      </w:r>
      <w:r>
        <w:t>https://mcp.opencaselaw.ch/entscheid/bvger_D-455_2015</w:t>
      </w:r>
    </w:p>
    <w:p>
      <w:r>
        <w:t>FR: TAF D-455/2015 du 9 février 2015</w:t>
      </w:r>
    </w:p>
    <w:p>
      <w:r>
        <w:t>IT: TAF D-455/2015 del 9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Rückschein bei den Akten nicht fest. Auch ist aus den Akten nicht er­sichtlich, wann die vorinstanzliche Verfügung vom 14. Novem-ber 2014 von der Schweizerischen Vertretung in Colombo versandt wurde. Indessen steht fest, dass die Be­schwerdeeingabe am 6. Januar 2014 bei der Vertretung eintraf. Mangels Rückschein steht somit nicht mit Bestimmtheit fest, ob die eingereichte Be­schwer­de rechtzeitig erfolgt ist. Da die Beweislast für die Zustellung an die Partei der eröffnenden Behörde obliegt (vgl. André Moser/Michael Beusch/Lo-renz Kneubühler, Prozessieren vor dem Bundesver­wal­tungsgericht, Basel 2008, Rz. 3.150, S. 166 f.), ist nach dem Gesagten zugunsten der Beschwerdeführerin davon auszugehen, dass die am 6. Januar 2015 bei der Schweizerischen Vertretung eingetroffene Beschwerde (vgl. Sach­verhalt Bst. E) rechtzeitig erfolgt ist..</w:t>
      </w:r>
    </w:p>
    <w:p>
      <w:r>
        <w:rPr>
          <w:b/>
        </w:rPr>
        <w:t>E. 1.5</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BFM in der angefochtenen Verfügung zu bestätigen, wonach sich aus den wesentlichen Vorbringen der Beschwerdeführerin, von der LTTE zwangsrekrutiert, nach Beendigung des Bürgerkrieges in Vavuniya für drei Monate inhaftiert geworden zu sein und zu befürchten, wegen ihres im Mai 2014 verhafteten Halbbruders vom CID gesucht zu werden, keine asylrelevante Gefährdungssituation der Beschwerdeführerin ergebe.</w:t>
      </w:r>
    </w:p>
    <w:p>
      <w:r>
        <w:rPr>
          <w:b/>
        </w:rPr>
        <w:t>E. 5.4</w:t>
      </w:r>
    </w:p>
    <w:p>
      <w:r>
        <w:t>Mit der Vorinstanz ist festzuhalten, dass die Zwangsrekrutierung durch die LTTE und die dreimonatige Haft als vergangene Verfolgungshandlungen nicht asylrelevant sind. Die Beschwerdeführerin wurde 2009 nach gerichtlicher Anordnung ohne Auflagen aus der Haft entlassen und war bis zum heutigen Zeitpunkt keinen behördlichen Behelligungen ausgesetzt, was auf ein fehlendes Verfolgungsinteresse des sri-lankischen Staates schliessen lässt; eine Einschätzung, die durch die Tatsache bestätigt wird, dass die sri-lankischen Behörden im Juli 2014 der Beschwerdeführerin einen neuen Reisepass ausgestellt haben. Die alleinige Tatsache, dass der Halbbruder der Beschwerdeführerin, mit dem die Beschwerdeführerin nach eigenen Angaben nie zusammen gelebt hat, wegen Verdachts auf Unterstützung der LTTE inhaftiert wurde, ändert nichts an der Einschätzung der fehlenden begründeten Frucht vor künftiger Verfolgung, wurde die Beschwerdeführerin doch auch nach der Verhaftung ihres Halbbruders im Mai 2014 von den Behörden nicht behelligt. In diesem Zusammenhang ist im Weiteren auf die veränderte allgemeine Situation in Sri Lanka hinzuweisen. Nach Beendigung des Krieges und der endgültigen Niederlage der LTTE ist die Gefahr für die Beschwerdeführerin, erneut der Zugehörigkeit zu den LTTE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An dieser Einschätzung vermögen weder die eingereichten Beweismittel, welche lediglich die als glaubhaft erachteten Vorbringen der Beschwerdeführerin stützen, noch die Argumente in der Beschwerde, welche sich in einer Wiederholung der im vorinstanzlichen Verfahren geltend gemachten Vorbringen und blossen Behauptungen erschöpfen, etwas zu ändern. 6.Somit ist es der Beschwerdeführerin nicht gelungen, eine aktuelle Gefährdung im Sinne von Art. 3 AsylG aufzuzeigen, welche die Bewilligung der Ein­reise in die Schweiz rechtfertigen würde. Die Schutzbedürftigkeit der Beschwerdeführerin im Sinne von alt Art. 20 i.V.m. Art. 3 AsylG ist nicht gegeben. Im Übrigen ist auch eine Beziehungsnähe der Beschwerdeführerin zur Schweiz zu verneinen (alt Art. 52 Abs. 2 AsylG). Das BFM hat der Beschwerdeführerin zu Recht die Einreise in die Schweiz verweigert und deren Asylgesuch abgelehnt. 7.Aus diesen Erwägungen ergibt sich, dass die angefochtene Verfügung das Bundesrecht nicht verletzt und den rechtserheblichen Sachverhalt richtig sowie vollständig feststellt (Art. 106 Abs. 1 AsylG). Die Beschwerde ist daher abzuweisen. 8.Bei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