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D-455/2010 vom 19. Februar 2010</w:t>
      </w:r>
    </w:p>
    <w:p>
      <w:r>
        <w:t>Bundesverwaltungsgericht, 2010-02-19, DE</w:t>
      </w:r>
    </w:p>
    <w:p>
      <w:r>
        <w:rPr>
          <w:b/>
        </w:rPr>
        <w:t xml:space="preserve">Quelle: </w:t>
      </w:r>
      <w:r>
        <w:t>https://mcp.opencaselaw.ch/entscheid/bvger_D-455_2010</w:t>
      </w:r>
    </w:p>
    <w:p>
      <w:r>
        <w:t>FR: TAF D-455/2010 du 19 février 2010</w:t>
      </w:r>
    </w:p>
    <w:p>
      <w:r>
        <w:t>IT: TAF D-455/2010 del 19 febbraio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(Art. 108 Abs. 2 AsylG, Art. 105 AsylG i.V.m. Art. 52 Abs. 1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Beschwerde, weshalb der Beschwerdeentscheid nur summarisch zu begründen ist (Art. 111a Abs. 2 AsylG). Gestützt auf Art. 111a Abs. 1 AsylG wurde vorliegend auf die Durchführung des Schriftenwechsels verzichtet.</w:t>
      </w:r>
    </w:p>
    <w:p>
      <w:r>
        <w:rPr>
          <w:b/>
        </w:rPr>
        <w:t>E. 4.1</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4.2</w:t>
      </w:r>
    </w:p>
    <w:p>
      <w:r>
        <w:t>Bei der Prüfung, ob Hinweise auf eine Verfolgung vorliegen, welche geeignet sind, die Flüchtlingseigenschaft zu begründen, ist vom engen Verfolgungsbegriff im Sinne von Art. 3 AsylG auszugehen, wobei darunter auch subjektive Nachfluchtgründe fallen. Bei der Prüfung von Hinweisen auf in der Zwischenzeit eingetretene, für die Flüchtlingseigenschaft relevante Ereignisse, welche gemäss Art. 32 Abs. 2 Bst. e AsylG dazu führen, dass auf ein zweites (oder weiteres) Asylgesuch einzutreten ist, kommt ein gegenüber der Glaubhaftmachung reduzierter Beweismassstab zur Anwendung: Auf ein Asylgesuch muss eingetreten werden, wenn sich Hinweise auf eine relevante Verfolgung ergeben, die nicht zum Vornherein haltlos sind (vgl. BVGE 2008/57 E. 3.2 S. 780, Entscheidungen und Mitteilungen der Schweizerischen Asylrekurskommission [EMARK] 2005 Nr. 2 E. 4.3. S. 17).</w:t>
      </w:r>
    </w:p>
    <w:p>
      <w:r>
        <w:rPr>
          <w:b/>
        </w:rPr>
        <w:t>E. 5.1</w:t>
      </w:r>
    </w:p>
    <w:p>
      <w:r>
        <w:t>In der Rechtsmitteleingabe wurde im Wesentlichen ausgeführt, die Eingabe des Beschwerdeführers vom 21. Dezember 2007 sei mit subjektiven Nachfluchtgründen begründet worden, wobei diese nicht bloss in den Raum gestellt, sondern mit einschlägigem Bildmaterial und anderen Beweismitteln konkretisiert worden seien, was eine Vorstellung davon habe zu vermitteln vermocht, worin die exilpolitischen Aktivitäten des Beschwerdeführers in der Schweiz bestünden. Es seien somit im zweiten Asylgesuch Hinweise geltend gemacht worden, die geeignet seien, die Flüchtlingseigenschaft zu begründen. Gemäss Rechtsprechung der ARK, welcher sich das Bundesverwaltungsgericht anschliesse, sei ein in Anwendung von Art. 32 Abs. 2 Bst. e AsylG gefällter Nichteintretensentscheid daher nicht statthaft (EMARK 2006/20 E. 3.1.; EMARK 2005/2 E. 4.3.). Asylgesuche, die betreffend exilpolitische Aktivitäten ausführlich dokumentiert seien, könnten nicht im Vornherein als aussichtslos bezeichnet bzw. mittels Nichteintretensentscheid erledigt werden. Die Einschätzung der Vorinstanz, wonach die exilpolitische Aktivität des Beschwerdeführers nicht geeignet sei, eine asylrelevante Gefährdung zu begründen, hätte folglich mit einer materiellen Beurteilung des Sachverhalts erfolgen sollen. In etlichen Fällen sei die Flüchtlingseigenschaft aufgrund exilpolitischen Engagements entweder vom BFM, von der ARK oder vom Bundesverwaltungsgericht gutgeheissen worden. Eine materielle Überprüfung erweise sich deshalb als unabdingbar. Mit der Anhörung des Beschwerdeführers befinde sich das BFM bereits im materiellen Überprüfungsverfahren der geltend gemachten Hinweise auf die Flüchtlingseigenschaft, weshalb für einen Nichteintretensentscheid gar kein Raum mehr bestehe. Zusammenfassend lasse sich festhalten, dass die Vorinstanz zu Unrecht gestützt auf Art. 32 Abs. 2 Bst. e AsylG auf das zweite Asylgesuch des Beschwerdeführers nicht eingetreten sei. Die vorliegenden Hinweise auf Verfolgung seien Prüfungsgegenstand eines materiellen Verfahrens, das mit einem materiellen Entscheid abzuschliessen sei.</w:t>
      </w:r>
    </w:p>
    <w:p>
      <w:r>
        <w:rPr>
          <w:b/>
        </w:rPr>
        <w:t>E. 5.2</w:t>
      </w:r>
    </w:p>
    <w:p>
      <w:r>
        <w:t>Gemäss der durch die ehemalige ARK begründeten Rechtsprechung (wie in der Beschwerdeschrift erwähnt: EMARK 2006 Nr. 20 E. 3.1.), welcher sich das Bundesverwaltungsgericht anschliesst, fällt die Möglichkeit, in Anwendung von Art. 32 Abs. 2 Bst. e AsylG einen Nichteintretensentscheid zu treffen, indessen von vornherein ausser Betracht, wenn ein (erneutes) Asylgesuch mit subjektiven Nachfluchtgründen begründet wird und diese Vorbringen nicht bloss in den Raum gestellt werden, sondern mit einschlägigen Beweismitteln eine konkrete Vorstellung davon vermittelt wird, worin die exilpolitischen Aktivitäten bestehen, also Hinweise auf eine Verfolgung vorliegen. Zwar bedeutet allein der Umstand, dass in einem weiteren, insbesondere schriftlich eingereichten Asylgesuch das exilpolitische Engagement der asylsuchenden Person umfassend dargelegt und allenfalls mit Beweismitteln dokumentiert wird, nicht, dass auf das Asylgesuch im Sinne eines Automatismus einzutreten wäre. Vielmehr ist im Hinblick auf die Frage, ob das ordentliche Verfahren durchzuführen oder ein Nichteintretensentscheid gemäss Art. 32 Abs. 2 Bst. e AsylG zu fällen ist, unter Berücksichtigung des länderspezifischen und personenbezogenen Kontextes im konkreten Fall zu prüfen, ob sich aufgrund der geltend gemachten exilpolitischen Tätigkeiten Hinweise ergeben, die geeignet sind, die Flüchtlingseigenschaft zu begründen. Ergeben sich solche Hinweise, muss das BFM auf das zweite Asylgesuch eintreten und im Rahmen des ordentlichen Asylverfahrens eine förmliche Anhörung zu den Asylgründen nach Art. 29 und 30 AsylG durchführen (vgl. das zur Publikation vorgesehene Urteil BVGE D-5407/2006 vom 30. November 2009 E. 6.1 mit Hinweis auf EMARK 2006 Nr. 20 E. 3.1 S. 214 f.) Die zentrale Frage, ob den (neuen) exilpolitischen Aktivitäten des Beschwerdeführers als Fortsetzung seiner bisherigen, bereits gewürdigten Tätigkeiten eine eigenständige Bedeutung zuzumessen ist und welcher Exponierungsgrad konkret dadurch erreicht wurde, bedarf einer vertieften Abklärung, welche sich nicht mit einem Nichteintretensentscheid nach Art. 32 Abs. 2 Bst. e AsylG vereinbaren lässt. Dies jedenfalls in Fällen wie dem hier zu beurteilenden, in dem neue Beweismittel eingereicht wurden (vgl. bereits das Urteil des Bundesverwaltungsgericht D-1009/2009 vom 25. Februar 2009, E. 5.4).</w:t>
      </w:r>
    </w:p>
    <w:p>
      <w:r>
        <w:rPr>
          <w:b/>
        </w:rPr>
        <w:t>E. 5.3</w:t>
      </w:r>
    </w:p>
    <w:p>
      <w:r>
        <w:t>Vorliegend ist das exilpolitische Engagement des Beschwerdeführers in der Schweiz durch das mit dem zweiten Asylgesuch eingereichte Beweismitteldossier ausführlich dokumentiert. Die Vorbringen werden damit nicht bloss in den Raum gestellt, sondern es wird eine konkrete Vorstellung davon vermittelt, worin die exilpolitischen Tätigkeiten bestehen. Wie bereits oben dargelegt wurde, wird im Anwendungsbereich von Art. 32 Abs. 2 Bst. e AsylG ein gegenüber der Glaubhaftmachung reduzierter Beweismassstab angewandt, weshalb auf ein Asylgesuch einzutreten ist, wenn sich Hinweise auf eine relevante Verfolgung ergeben, die nicht zum Vornherein haltlos sind (vgl. E. 4.2). Da infolge des in der Schweiz ausgeübten exilpolitischen Engagements ernsthafte Nachteile im Sinne von Art. 3 AsylG im Heimatland des Beschwerdeführers bei einer Rückkehr dorthin nicht zum Vornherein ausgeschlossen werden können, mithin Hinweise auf Verfolgung gegeben sind, hätte das BFM auf das zweite Asylgesuch des Beschwerdeführers materiell eintreten müssen. Nachdem am 16. Juli 2009 im Rahmen eines ordentlichen zweiten Asylverfahrens eine Anhörung des Beschwerdeführers durchgeführt wurde (vgl. B16), ist das BFM nunmehr gehalten, die geltend gemachten subjektiven Nachfluchtgründe des Beschwerdeführers in einem materiellen Asylentscheid zu würdigen.</w:t>
      </w:r>
    </w:p>
    <w:p>
      <w:r>
        <w:rPr>
          <w:b/>
        </w:rPr>
        <w:t>E. 5.4</w:t>
      </w:r>
    </w:p>
    <w:p>
      <w:r>
        <w:t>Nach dem Gesagten ergibt sich, dass das BFM Bundesrecht verletzt hat, indem es trotz des Vorliegens von Hinweisen auf Verfolgung auf das Asylgesuch des Beschwerdeführers nicht eingetreten ist. Demzufolge ist die Beschwerde im Sinne der Erwägungen gutzuheissen, die angefochtene Verfügung vom 15. Januar 2010 aufzuheben und die Sache zur Neubeurteilung an das BFM zurückzuweisen. Das Bundesamt ist aufzufordern, auf das zweite Asylgesuch des Beschwerdeführers einzutreten und die geltend gemachten subjektiven Nachfluchtgründe in einem materiellen Asylentscheid zu würdigen.</w:t>
      </w:r>
    </w:p>
    <w:p>
      <w:r>
        <w:rPr>
          <w:b/>
        </w:rPr>
        <w:t>E. 6.1</w:t>
      </w:r>
    </w:p>
    <w:p>
      <w:r>
        <w:t>Bei diesem Ausgang des Beschwerdeverfahrens sind keine Kosten aufzuerlegen (Art. 63 Abs. 1 VwVG). Die Gesuche des Beschwerdeführers um Bewilligung der unentgeltlichen Rechtspflege im Sinne von Art. 65 Abs. 1 VwVG und um Verzicht auf die Erhebung eines Kostenvorschusses sind damit als gegenstandslos zu betrachten.</w:t>
      </w:r>
    </w:p>
    <w:p>
      <w:r>
        <w:rPr>
          <w:b/>
        </w:rPr>
        <w:t>E. 6.2</w:t>
      </w:r>
    </w:p>
    <w:p>
      <w:r>
        <w:t>Das vorliegende Verfahren erscheint weder in tatsächlicher noch in rechtlicher Hinsicht besonders komplex, weshalb das Gesuch um unentgeltliche Rechtsverbeiständung im Sinne von Art. 65 Abs. 2 VwVG abzuweisen ist.</w:t>
      </w:r>
    </w:p>
    <w:p>
      <w:r>
        <w:rPr>
          <w:b/>
        </w:rPr>
        <w:t>E. 7.1</w:t>
      </w:r>
    </w:p>
    <w:p>
      <w:r>
        <w:t>Die Beschwerdeinstanz kann der ganz oder teilweise obsiegenden Partei von Amtes wegen oder auf Begehren eine Entschädigung für ihr erwachsene notwendige und verhältnismässig hohe Kosten zusprechen (Art. 64 Abs. 1 VwVG sowie Art. 16 Abs. 1 Bst. a VGG i.V.m. Art. 7, Art 8 und 9 des Reglements vom 21. Februar 2008 über die Kosten und Entschädigungen vor dem Bundesverwaltungsgericht [VGKE, SR 173.320.2]).</w:t>
      </w:r>
    </w:p>
    <w:p>
      <w:r>
        <w:rPr>
          <w:b/>
        </w:rPr>
        <w:t>E. 7.2</w:t>
      </w:r>
    </w:p>
    <w:p>
      <w:r>
        <w:t>Dem rechtlich vertretenen Beschwerdeführer ist angesichts seines Obsiegens zulasten der Vorinstanz eine Parteientschädigung für die ihm notwendigerweise erwachsenen Kosten zuzusprechen (Art. 64 Abs. 1 VwVG sowie Art. 16 Abs. 1 Bst. a VGG i.V.m. Art. 7 Abs. 1, Art. 8 und 9 des Reglements vom 21. Februar 2008 über die Kosten und Entschädigungen vor dem Bundesverwaltungsgericht [VGKE, SR 173.320.2]). Aufgrund der Akten können die Vertretungskosten vorliegend zuverlässig abgeschätzt werden und sind unter Berücksichtigung der massgebenden Berechnungsfaktoren (Art. 9-11 und 13 VGKE) auf Fr. 1200.-- (inkl. MWST und Auslagen) festzusetzen, weshalb auf die Einforderung einer Kostennote verzichtet werden kann (vgl. Art. 14 Abs. 2 in fine VGKE). Das BFM ist entsprechend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