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D-454/2012 vom 30. Januar 2012</w:t>
      </w:r>
    </w:p>
    <w:p>
      <w:r>
        <w:t>Bundesverwaltungsgericht, 2012-01-30, DE</w:t>
      </w:r>
    </w:p>
    <w:p>
      <w:r>
        <w:rPr>
          <w:b/>
        </w:rPr>
        <w:t xml:space="preserve">Quelle: </w:t>
      </w:r>
      <w:r>
        <w:t>https://mcp.opencaselaw.ch/entscheid/bvger_D-454_2012</w:t>
      </w:r>
    </w:p>
    <w:p>
      <w:r>
        <w:t>FR: TAF D-454/2012 du 30 janvier 2012</w:t>
      </w:r>
    </w:p>
    <w:p>
      <w:r>
        <w:t>IT: TAF D-454/2012 del 30 gennaio 2012</w:t>
      </w:r>
    </w:p>
    <w:p>
      <w:pPr>
        <w:pStyle w:val="Heading2"/>
      </w:pPr>
      <w:r>
        <w:t>Regeste</w:t>
      </w:r>
    </w:p>
    <w:p>
      <w:r>
        <w:t>Flughafenverfahren (Asyl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 in Flughafenverfahren werden fremdsprachige Beschwerdeeingaben praxisgemäss von Amtes wegen übersetzt -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108 Abs. 2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w:t>
      </w:r>
    </w:p>
    <w:p>
      <w:r>
        <w:rPr>
          <w:b/>
        </w:rPr>
        <w:t>E. 5.1</w:t>
      </w:r>
    </w:p>
    <w:p>
      <w:r>
        <w:t>Das BFM hat den vom Beschwerdeführer geltend gemachten Ausreisegrund, wonach er die Türkei verlassen habe, um seine Kinder in C._______ sehen zu können, als den Anforderungen an die Flüchtlingseigenschaft gemäss Art. 3 AsylG nicht genügend erachtet. Dieser Einschätzung ist beizupflichten. Zur Vermeidung von Wiederholungen kann daher vorab auf die nicht zu beanstandenden Ausführungen in der vorinstanzlichen Verfügung verwiesen werden. Der Rechtsmitteleingabe sind keine stichhaltigen Entgegnungen zu entnehmen, die eine Änderung in der Frage der Flüchtlingseigenschaft und des Asyls (und der Durchführbarkeit des Wegweisungsvollzugs) zu bewirken vermöchten.</w:t>
      </w:r>
    </w:p>
    <w:p>
      <w:r>
        <w:rPr>
          <w:b/>
        </w:rPr>
        <w:t>E. 5.2</w:t>
      </w:r>
    </w:p>
    <w:p>
      <w:r>
        <w:t>Der Wunsch des Beschwerdeführers, seine Kinder in C._______ sehen zu können, ist zwar verständlich, indes stellt die Unmöglichkeit der Verwirklichung dieses Wunsches keinen asylrechtlich relevanten Nachteil im Sinne von Art. 3 AsylG dar. Andere Asylgründe brachte der Beschwerdeführer nicht vor, sondern betonte, er werde gegenwärtig in der Türkei nicht persönlich bedroht oder verfolgt (vgl. A8 S. 11). Der Beschwerdeführer erfüllt damit die Flüchtlingseigenschaft gemäss Art. 3 AsylG nicht. Das Bundesamt hat das Asylgesuch folglich zu Recht abgelehnt.</w:t>
      </w:r>
    </w:p>
    <w:p>
      <w:r>
        <w:rPr>
          <w:b/>
        </w:rPr>
        <w:t>E. 6</w:t>
      </w:r>
    </w:p>
    <w:p>
      <w:r>
        <w:t>Lehnt des Bundesamt das Asylgesuch ab oder tritt es darauf nicht ein, so verfügt es in der Regel die Wegweisung aus der Schweiz (Art. 44 Abs. 1 AsylG). Der Beschwerdeführer verfügt weder über eine ausländerrechtliche Aufenthaltsbewilligung noch über einen Anspruch auf Erteilung einer solchen. Die Wegweisung wurde daher zu Recht angeordnet (vgl. BVGE 2008/34 E. 9.2 S. 510).</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EMARK 2001 Nr. 16 S.122, mit weiteren Hinweisen). Dies ist vorliegend nicht der Fall. Auch die allgemeine Menschenrechtslage in der Türkei lässt den Wegweisungsvollzug nicht als unzulässig erscheinen.</w:t>
      </w:r>
    </w:p>
    <w:p>
      <w:r>
        <w:rPr>
          <w:b/>
        </w:rPr>
        <w:t>E. 7.1.3</w:t>
      </w:r>
    </w:p>
    <w:p>
      <w:r>
        <w:t>Gemäss Art. 8 EMRK hat jede Person das Recht auf Achtung ihres Familienlebens, wobei eine Behörde in die Ausübung dieses Rechts nur eingreifen darf, soweit der Eingriff gesetzlich vorgesehen ist. Der Beschwerdeführer verfügt in der Schweiz über keine Familienangehörigen, so dass eine Verletzung von Art. 8 EMRK bei einem Vollzug der Wegweisung von der Schweiz in die Türkei von vornherein ausser Betracht fällt. Die Kinder des Beschwerdeführers leben vielmehr in C._______, so dass eine allfällige Verletzung von Art. 8 EMRK von Seiten C._______ durch die Verweigerung der Ausstellung eines Visums an den Beschwerdeführer bei den (...) Behörden geltend gemacht werden müsste. Die schweizerischen Behörden haben keine Handhabe, dem Beschwerdeführer quasi stellvertretend für die zuständigen (...) Behörden eine Einreisebewilligung zu erteilen.</w:t>
      </w:r>
    </w:p>
    <w:p>
      <w:r>
        <w:rPr>
          <w:b/>
        </w:rPr>
        <w:t>E. 7.1.4</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567 f.; Botschaft zum Bundesgesetz über die Ausländerinnen und Ausländer vom 8. März 2002, BBl 2002 3818).</w:t>
      </w:r>
    </w:p>
    <w:p>
      <w:r>
        <w:rPr>
          <w:b/>
        </w:rPr>
        <w:t>E. 7.2.1</w:t>
      </w:r>
    </w:p>
    <w:p>
      <w:r>
        <w:t>Die allgemeine Lage in der Türkei ist nicht von Bürgerkrieg oder allgemeiner Gewalt gezeichnet, so dass der Vollzug der Wegweisung dorthin grundsätzlich als zumutbar erscheint.</w:t>
      </w:r>
    </w:p>
    <w:p>
      <w:r>
        <w:rPr>
          <w:b/>
        </w:rPr>
        <w:t>E. 7.2.2</w:t>
      </w:r>
    </w:p>
    <w:p>
      <w:r>
        <w:t>In den Akten finden sich auch keine konkreten Anhaltspunkte dafür, dass der Beschwerdeführer aus individuellen Gründen wirtschaftlicher, sozialer oder gesundheitlicher Natur bei einer Rückkehr in sein Heimatland in eine existenzbedrohende Situation geraten würde. Der Beschwerdeführer verfügt mit (Aufzählung Verwandte) über ein verwandtschaftliches Beziehungsnetz im Heimatland. Die langjährige Berufserfahrung als (Beruf) bildet eine gute Voraussetzung für die Wiedereingliederung in den heimatlichen Arbeitsmarkt. Zudem verfügt der Beschwerdeführer über Einnahmen aus der Vermietung von Liegenschaften. Die bei Stresssituationen auftretenden gesundheitlichen Beschwerden lassen nicht auf eine konkrete Gefährdung aufgrund einer medizinischen Notlage schliessen, die in der Türkei nicht behandelbar wäre. Die entsprechenden Institutionen zur Behandlung psychischer Erkrankungen sind auch in der Türkei vorhanden und der Beschwerdeführer hat diese in der Vergangenheit bereits in Anspruch genommen. Es ist somit insgesamt nicht davon auszugehen, der Beschwerdeführer würde bei einer Rückkehr in die Türkei in eine seine Existenz vernichtende Situation geraten, die als konkrete Gefährdung im Sinne der zu beachtenden Bestimmungen zu werden wäre (Art. 83 Abs. 4 AuG).</w:t>
      </w:r>
    </w:p>
    <w:p>
      <w:r>
        <w:rPr>
          <w:b/>
        </w:rPr>
        <w:t>E. 7.2.3</w:t>
      </w:r>
    </w:p>
    <w:p>
      <w:r>
        <w:t>Der Vollzug der Wegweisung erweist sich daher in genereller und individueller Hinsicht als zumutbar.</w:t>
      </w:r>
    </w:p>
    <w:p>
      <w:r>
        <w:rPr>
          <w:b/>
        </w:rPr>
        <w:t>E. 7.3</w:t>
      </w:r>
    </w:p>
    <w:p>
      <w:r>
        <w:t>Der Beschwerdeführer verfügt über türkische Ausweispapiere. Sollte er darüber hinaus weitere Reisepapiere benötigen, obliegt es ihm, bei deren Beschaffung mitzuwirken (Art. 8 Abs. 4 AsylG; vgl. dazu auch BVGE 2008/34 E. 12 S. 513 f.). Der Vollzug der Wegweisung ist daher auch als möglich zu bezeichnen (Art. 83 Abs. 2 AuG).</w:t>
      </w:r>
    </w:p>
    <w:p>
      <w:r>
        <w:rPr>
          <w:b/>
        </w:rPr>
        <w:t>E. 7.4</w:t>
      </w:r>
    </w:p>
    <w:p>
      <w:r>
        <w:t>Der durch die Vorinstanz verfügte Wegweisungsvollzug ist aufgrund des Gesagten zu bestätigen. Eine Anordnung der vorläufigen Aufnahme des Beschwerdeführers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Das Gesuch um Verzicht auf die Erhebung eines Kostenvorschusses erweist sich mit vorliegendem Urteil ohne vorgängige Instruktion als gegenstandslos.</w:t>
      </w:r>
    </w:p>
    <w:p>
      <w:r>
        <w:rPr>
          <w:b/>
        </w:rPr>
        <w:t>E. 10.1</w:t>
      </w:r>
    </w:p>
    <w:p>
      <w:r>
        <w:t>Aufgrund obiger Erwägungen ist die Beschwerde als aussichtslos zu qualifizieren, weshalb das Gesuch um Gewährung der unentgeltlichen Rechtspflege im Sinne von Art. 65 Abs. 1 VwVG - ungeachtet der allfälligen Bedürftigkeit des Beschwerdeführers - abzuweisen ist.</w:t>
      </w:r>
    </w:p>
    <w:p>
      <w:r>
        <w:rPr>
          <w:b/>
        </w:rPr>
        <w:t>E. 10.2</w:t>
      </w:r>
    </w:p>
    <w:p>
      <w:r>
        <w:t>Bei diesem Ausgang des Verfahrens sind dessen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