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D-4548/2009 vom 18. Februar 2010</w:t>
      </w:r>
    </w:p>
    <w:p>
      <w:r>
        <w:t>Bundesverwaltungsgericht, 2010-02-18, DE</w:t>
      </w:r>
    </w:p>
    <w:p>
      <w:r>
        <w:rPr>
          <w:b/>
        </w:rPr>
        <w:t xml:space="preserve">Quelle: </w:t>
      </w:r>
      <w:r>
        <w:t>https://mcp.opencaselaw.ch/entscheid/bvger_D-4548_2009</w:t>
      </w:r>
    </w:p>
    <w:p>
      <w:r>
        <w:t>FR: TAF D-4548/2009 du 18 février 2010</w:t>
      </w:r>
    </w:p>
    <w:p>
      <w:r>
        <w:t>IT: TAF D-4548/2009 del 18 febbraio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betrifft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20 Abs. 2 und 3 AsylG ist die Einreise in die Schweiz zu bewilligen, wenn eine unmittelbare Gefahr für Leib, Leben oder Freiheit aus einem Grund nach Art. 3 Abs. 1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3.2</w:t>
      </w:r>
    </w:p>
    <w:p>
      <w:r>
        <w:t>Ein Familiennachzugsgesuch eines - wie in casu - vorläufig aufgenommenen Flüchtlings, mit dem unter anderem eine persönliche Gefährdung der sich im Ausland befindenden, nachzuziehenden Familienangehörigen geltend gemacht wird, ist nach Treu und Glauben gegebenenfalls auch als Asylgesuch aus dem Ausland im Sinne von Art. 20 Abs. 2 und 3 AsylG zu verstehen (vgl. Entscheide des Schweizerischen Bundesverwaltungsgerichts [BVGE] 2007/19). Die Prüfung, ob ein Gesuchsteller die Flüchtlingseigenschaft originär, aufgrund einer eigenen persönlichen Gefährdung, erfüllt, geht der Prüfung eines allfälligen derivativen Anspruchs auf Anerkennung als Flüchtling vor. Die Frage, ob allenfalls die Voraussetzungen eines derivativen Einbezugs von Familienangehörigen und eingetragenen Partnern in die vorläufige Aufnahme von vorläufig aufgenommenen Flüchtlingen vorliegen, kann mithin erst dann einer Prüfung unterzogen werden, wenn zuvor festgestellt wurde, dass die einzubeziehende Person die Flüchtlingseigenschaft nicht selbstständig nach Art. 3 AsylG erfüllt (vgl. BVGE 2007/19).</w:t>
      </w:r>
    </w:p>
    <w:p>
      <w:r>
        <w:rPr>
          <w:b/>
        </w:rPr>
        <w:t>E. 4</w:t>
      </w:r>
    </w:p>
    <w:p>
      <w:r>
        <w:t>Nachdem Art. 18 AsylG definiert, dass jede Äusserung, mit der eine Person zu erkennen gibt, dass sie die Schweiz um Schutz vor Verfolgung nachsucht, als Asylgesuch zu gelten hat, muss aufgrund der Aktenlage davon ausgegangen werden, dass die Beschwerdeführerin um Beurteilung ihrer Verfolgungssituation in Eritrea ersucht. Der Umstand, dass das betreffende Gesuch nicht bei einer schweizerischen Vertretung, sondern direkt beim BFM eingereicht wurde, ist nicht massgebend (vgl. für die in dieser Hinsicht weiterhin Geltung beanspruchende Praxis der ARK die Feststellungen in EMARK 1997 Nr. 15 E. 2b S. 129, die sich zwar auf den damaligen Art. 13a AsylG beziehen, jedoch auch nach geltendem Asylgesetz weiterhin massgeblich bleiben). Dementsprechend wurde die Eingabe der Beschwerdeführerin vom 21. Januar 2009 als Asylgesuch aus dem Ausland entgegengenommen. Im Nachfolgenden befasst sich das Bundesverwaltungsgericht primär mit der Frage der persönlichen Gefährdung der Beschwerdeführerin und nur subsidiär mit der Frage eines allfälligen Familiennachzugs nach Art. 85 Abs. 7 AuG.</w:t>
      </w:r>
    </w:p>
    <w:p>
      <w:r>
        <w:rPr>
          <w:b/>
        </w:rPr>
        <w:t>E. 5.1</w:t>
      </w:r>
    </w:p>
    <w:p>
      <w:r>
        <w:t>Die Asylbehörde hat den rechtserheblichen Sachverhalt von Amtes wegen festzustellen (Art. 6 AsylG i.V.m. Art. 12 VwVG). Der Grundsatz des rechtlichen Gehörs (Art. 29 Abs. 2 der Bundesverfassung der Schweizerischen Eidgenossenschaft vom 18. April 1999 [BV, SR 101], Art. 29 und 32 Abs. 1 VwVG) verlangt weiter, dass die verfügende Behörde dabei die Vorbringen der betroffenen Person tatsächlich hört, sorgfältig und ernsthaft prüft und in der Entscheidfindung berücksichtigt, was sich entsprechend in der Entscheidbegründung niederschlagen muss (vgl.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(vgl. EMARK 2006 Nr. 24 E. 5.1 S. 256). Die Frage, ob bei Asylgesuchen im Ausland die Schweizer Botschaft über die Notwendigkeit der Durchführung einer Befragung entscheiden und unter welchen Umständen, und auf wessen Anweisung hin allenfalls darauf verzichtet werden darf, braucht vorliegend nicht ausführlich erörtert zu werden (vgl. zur Sachverhaltsermittlung und zur Gewährung des rechtlichen Gehörs im Auslandverfahren BVGE 2007/30), denn wie sich im Folgenden zeigen wird, hat die Vorinstanz den Sachverhalt nicht genügend erstellt.</w:t>
      </w:r>
    </w:p>
    <w:p>
      <w:r>
        <w:rPr>
          <w:b/>
        </w:rPr>
        <w:t>E. 5.2</w:t>
      </w:r>
    </w:p>
    <w:p>
      <w:r>
        <w:t>Vorliegend ist die Eingabe der Beschwerdeführerin vom 21. Januar 2009 von dieser als (...) bezeichnet worden. Darin wurde zur Begründung der originären Erfüllung der Flüchtlingseigenschaft unter Bezugnahme auf den Sachverhalt ausgeführt, die Beschwerdeführerin sei in ihrem Heimatland Eritrea wegen der Flucht ihres Ehemannes in asylrelevanter Weise gefährdet; zudem habe sie begründete Furcht, im Fall einer Rückkehr wegen ihrer illegalen Ausreise ernsthaften Nachteilen ausgesetzt zu werden. In ihrer Stellungnahme vom 30. April 2009 (Gesuchsergänzung) führte die Beschwerdeführerin in Bezug auf die fluchtauslösenden Ereignisse aus, sie sei aus Eritrea geflohen, nachdem sie den Militärdienst absolviert habe. Sie habe dagegen protestiert, dass sie länger als die gesetzliche Dauer von 18 Monaten habe dienen müssen. Deswegen sei sie als "Gesetzlose" dargestellt, während mehr als (...) geschlagen und zur Strafe gezwungen worden, als (...) zu arbeiten. Sie sei mit Gewalt und ohne Rücksicht auf (...) für den Militärdienst aufgeboten worden. Ihre Wehrdienstverweigerung habe im Protest gegen die rechtswidrige, überlange Dauer des Militärdiensts bestanden. (...). Das BFM führte in den Erwägungen der angefochtenen Verfügung unter Bezugnahme auf BVGE 2007/19 aus, das Gesuch der Beschwerdeführerin vom 21. Januar 2009 sei zunächst als eigenständiges Asylgesuch aus dem Ausland zu beurteilen, wobei die bisherigen Angaben der Beschwerdeführerin ermöglichen würden, ihre Gefährdungssituation ohne ihre Anwesenheit in der Schweiz zu beurteilen. In der Folge wurde indes lediglich darauf hingewiesen, dass sich die Beschwerdeführerin seit (...) als Flüchtling im Sudan befinde, über einen entsprechenden sudanesischen Flüchtlingsausweis verfüge und schliesslich dargelegt, weshalb ihr der dortige Verbleib zumutbar sei. Weder in der angefochtenen Verfügung noch in seiner Vernehmlassung vom 18. August 2009 äusserte sich das BFM zur Gefährdungssituation der Beschwerdeführerin im Sinn von Art. 3 AsylG.</w:t>
      </w:r>
    </w:p>
    <w:p>
      <w:r>
        <w:rPr>
          <w:b/>
        </w:rPr>
        <w:t>E. 5.3</w:t>
      </w:r>
    </w:p>
    <w:p>
      <w:r>
        <w:t>Der Ehemann der Beschwerdeführerin hat im Rahmen seines eigenen Asylgesuches insbesondere geltend gemacht, er habe Eritrea im Jahr (...) illegal und im militärdienstpflichtigen Alter in Richtung Sudan verlassen. Aufgrund des Umstandes, dass die eritreischen Behörden solchen Personen grundsätzlich eine regierungsfeindliche Haltung unterstellen und sie bei einer Rückkehr nach Eritrea streng bestrafen würden, wobei sich die Strafmassnahmen durch ein hohes Mass an Brutalität auszeichneten, ist eine begründete Furcht des Ehemannes der Beschwerdeführerin, bei einer Rückkehr nach Eritrea künftiger flüchtlingsrelevanter Verfolgung im Sinne von Art. 3 AsylG ausgesetzt zu werden, bejaht und festgesellt worden, dass er die Flüchtlingseigenschaft erfüllt. Da er erst durch seine Ausreise aus Eritrea Flüchtling geworden war, ist sein Asylgesuch gestützt auf Art. 54 AsylG abgelehnt und sein Anwesenheitsrecht in der Schweiz als Flüchtling mit der Anordnung der vorläufigen Aufnahme geregelt worden.</w:t>
      </w:r>
    </w:p>
    <w:p>
      <w:r>
        <w:rPr>
          <w:b/>
        </w:rPr>
        <w:t>E. 5.4</w:t>
      </w:r>
    </w:p>
    <w:p>
      <w:r>
        <w:t>Wie bereits festgehalten, hat sich das BFM bisher nicht mit der Frage der persönlichen Gefährdungslage der Beschwerdeführerin auseinandergesetzt. Zu diesen Verfolgungsvorbringen hat sich die Vorinstanz mit keinem Wort geäussert. Trotz der Stellungnahme der Beschwerdeführerin vom 30. April 2009 bleiben die genaueren Umstände dieser Vorbringen unklar. Diesbezüglich muss festgestellt werden, dass das BFM den rechtserheblichen Sachverhalt nicht hinreichend erstellt beziehungsweise abgeklärt hat, was grundsätzlich eine Verletzung des rechtlichen Gehörsanspruchs darstellt.</w:t>
      </w:r>
    </w:p>
    <w:p>
      <w:r>
        <w:rPr>
          <w:b/>
        </w:rPr>
        <w:t>E. 5.5</w:t>
      </w:r>
    </w:p>
    <w:p>
      <w:r>
        <w:t>Es stellt sich daher die Frage, ob diese Gehörsverletzung auf Beschwerdeebene geheilt werden kann oder zur Kassation der angefochtenen Verfügung führt. Das Bundesverwaltungsgericht geht - in Fortsetzung der Praxis der ARK - davon aus, dass Gehörsverletzungen beziehungsweise unvollständige Sachverhaltsfeststellungen dank der umfassenden Kognition des Bundesverwaltungsgerichts als Beschwerdeinstanz (Art. 106 AsylG) unter bestimmten Voraussetzungen geheilt werden können (vgl. dazu: EMARK 2004 Nr. 38 E. 7.1, 1998 Nr. 34 E. 10d, mit weiteren Hinweisen).</w:t>
      </w:r>
    </w:p>
    <w:p>
      <w:r>
        <w:rPr>
          <w:b/>
        </w:rPr>
        <w:t>E. 5.6</w:t>
      </w:r>
    </w:p>
    <w:p>
      <w:r>
        <w:t>Nach dem Gesagten ist von einem nicht rechtsgenüglich erstellten Sachverhalt auszugehen. Es kann nicht Sinn des Beschwerdeverfahrens vor dem Bundesverwaltungsgericht sein, erst auf dieser Stufe für eine vollständige Sachverhaltsermittlung zu sorgen. Mit der Vornahme sämtlicher noch notwendiger Sachverhaltsabklärungen durch das Bundesverwaltungsgericht würde dieses weit über den prozessrechtlichen Rahmen eines Beschwerdeverfahrens hinausgehen. Vorliegend hat sich das BFM zur Frage der Abklärung der persönlichen Gefährdungssituation der Beschwerdeführerin weder im vorinstanzlichen Verfahren noch im Beschwerdeverfahren vernehmen lassen. Der festgestellte Verfahrensmangel wiegt schwer, zumal es um die zentrale Frage der Prüfung des Vorliegens einreiserelevanter Verfolgung geht. Aus diesen Gründen ist offensichtlich, dass die angefochtene Verfügung kassiert werden muss und eine Heilung durch die Beschwerdeinstanz nicht in Frage kommen kann.</w:t>
      </w:r>
    </w:p>
    <w:p>
      <w:r>
        <w:rPr>
          <w:b/>
        </w:rPr>
        <w:t>E. 5.7</w:t>
      </w:r>
    </w:p>
    <w:p>
      <w:r>
        <w:t>Im Sinne eines Zwischenergebnisses ist zusammenfassend festzuhalten, dass die angefochtene Verfügung aufzuheben ist, da sich das BFM - obwohl es die Vorbringen der Beschwerdeführerin als Asylgesuch aus dem Ausland entgegengenommen hat - nicht mit der Gefährdungslage der Beschwerdeführerin in Bezug auf Eritrea auseinandergesetzt hat.</w:t>
      </w:r>
    </w:p>
    <w:p>
      <w:r>
        <w:rPr>
          <w:b/>
        </w:rPr>
        <w:t>E. 6</w:t>
      </w:r>
    </w:p>
    <w:p>
      <w:r>
        <w:t>Im Nachfolgenden ist nunmehr in einem zweiten Schritt zu prüfen, ob das zugunsten der Beschwerdeführerin gestellte Gesuch um Erteilung einer Einreisebewilligung gestützt auf Art. 20 Abs. 2 und 3 i.V.m. Art. 3 AsylG gutzuheissen ist.</w:t>
      </w:r>
    </w:p>
    <w:p>
      <w:r>
        <w:rPr>
          <w:b/>
        </w:rPr>
        <w:t>E. 6.1</w:t>
      </w:r>
    </w:p>
    <w:p>
      <w:r>
        <w:t>Die Erteilung einer Einreisebewilligung nach Art. 20 Abs. 2 und 3 i.V.m. Art. 3 AsylG ist grundsätzlich an restriktive Voraussetzungen geknüpft.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EMARK 1997 Nr. 15 E. 2f S. 131 f., 2004 Nr. 20 E. 3 S. 130 f. und Nr. 21 E. 2 S. 136 f., 2005 Nr. 19 E. 4 S. 174 ff.). Es stellt sich vorliegend die Frage, ob der Beschwerdeführerin zur Abklärung ihrer Vorbringen und damit zur Durchführung des Asylverfahrens die Einreise in die Schweiz zu bewilligen ist.</w:t>
      </w:r>
    </w:p>
    <w:p>
      <w:r>
        <w:rPr>
          <w:b/>
        </w:rPr>
        <w:t>E. 6.2</w:t>
      </w:r>
    </w:p>
    <w:p>
      <w:r>
        <w:t>Obwohl der Sachverhalt in vielen Punkten noch offen ist, bestehen klare Hinweise dafür, dass der Beschwerdeführerin in ihrem Heimatland eine Gefährdung drohen könnte. Zwar können aus der geltend gemachten Reflexverfolgung noch keine schlüssigen Hinweise auf eine diesbezügliche Verfolgungssituation abgeleitet werden, zumal der ihr damals noch unbekannte künftige Ehemann Eritrea bereits im Jahr (...) verlassen hatte, ihre Ausreise (...) erfolgte, sie sich erst im Sudan kennenlernten und dort i(...) (religiös) heirateten. Demgegenüber hat die Beschwerdeführerin geltend gemacht, dass sie desertiert sei und den Heimatstaat in der Folge auf illegale Weise verlassen habe. Gemäss Praxis der schweizerischen Asylbehörden ist in Eritrea die Bestrafung von Dienstverweigerung und Desertion unverhältnismässig streng; sie ist als politisch motiviert einzustufen. Personen, die begründete Furcht haben, einer solchen Bestrafung ausgesetzt zu werden, sind als Flüchtlinge anzuerkennen. Die Furcht vor einer Bestrafung wegen Dienstverweigerung oder Desertion ist begründet, wenn die betroffene Person in einem konkreten Kontakt zu den Militärbehörden stand. Ein solcher Kontakt ist regelmässig anzunehmen, wenn die Person im aktiven Dienst stand und desertierte (vgl. EMARK 2006 Nr. 3). Nachdem die Beschwerdeführerin ihre illegale Auseise aus Eritrea im dienstpflichtigen Alter in einen solchen Zusammenhang gestellt hat und eine solche Flucht ins Ausland strafverschärfend wirkt, ist eine entsprechende Verfolgung durch die eritreischen Behörden als wahrscheinlich einzuschätzen. Angesichts der grossen Zahl der im Sudan lebenden eritreischen Asylsuchenden und Flüchtlinge lässt sich zwar keine generelle Gefahr ableiten, dass diesen grundsätzlich eine Rückschiebung nach Eritrea droht; vorliegend ist jedoch die spezifische Situation der Beschwerdeführerin zu berücksichtigen: Diese hält sich seit der Ausreise ihres Ehemannes (...) als alleinstehende Frau im Sudan auf. Aufgrund der Aktenlage ist davon auszugehen, dass sie dort auf sich selbst gestellt ist, zumal sich offensichtlich keine nahen Familienangehörigen oder weitere Verwandte von ihr im Sudan aufhalten und es ihr dort unter diesen schwierigen Bedingungen offenbar nur aufgrund (...) gelingt zu überleben. Vor diesem Hintergrund und in Berücksichtigung der besonderen Umstände des vorliegenden Einzelfalles kommt das Bundesverwaltungsgericht in diesem Grenzfall zum Schluss, dass es der Beschwerdeführerin nicht zuzumuten ist, weiterhin den Schutz des sudanesischen Staates in Anspruch zu nehmen.</w:t>
      </w:r>
    </w:p>
    <w:p>
      <w:r>
        <w:rPr>
          <w:b/>
        </w:rPr>
        <w:t>E. 6.3</w:t>
      </w:r>
    </w:p>
    <w:p>
      <w:r>
        <w:t>Aufgrund der Akten kann schliesslich auch nicht davon ausgegangen werden, die Beschwerdeführerin verfüge tatsächlich über die Möglichkeit, in einem anderen Land um Schutz zu ersuchen (vgl. zu den Voraussetzungen der Einreisebewilligung EMARK 2005 Nr. 19). Der Verbleib im Sudan ist für die Beschwerdeführerin als im Sinne von Art. 20 Abs. 2 in Verbindung mit Art. 52 Abs. 2 AsylG unzumutbar zu betrachten. Da die Aktenlage zur Beurteilung des Asylgesuches nicht ausreichend ist, ist der Beschwerdeführerin die Einreise in die Schweiz zu weiteren Sachverhaltsabklärungen und zur Durchführung des Asylverfahrens zu bewilligen.</w:t>
      </w:r>
    </w:p>
    <w:p>
      <w:r>
        <w:rPr>
          <w:b/>
        </w:rPr>
        <w:t>E. 6.4</w:t>
      </w:r>
    </w:p>
    <w:p>
      <w:r>
        <w:t>Nach dem Gesagten ist die Beschwerde gutzuheissen und die Verfügung des BFM vom 12. Juni 2009 aufzuheben. Der Beschwerdeführerin ist zur Durchführung des Asylverfahrens die Einreise in die Schweiz zu bewilligen.</w:t>
      </w:r>
    </w:p>
    <w:p>
      <w:r>
        <w:rPr>
          <w:b/>
        </w:rPr>
        <w:t>E. 7.1</w:t>
      </w:r>
    </w:p>
    <w:p>
      <w:r>
        <w:t>Bei diesem Ausgang des Verfahrens sind keine Verfahrenskosten zu erheben (Art. 63 Abs. 1 und 2 VwVG). Das Gesuch um Gewährung der unentgeltlichen Rechtspflege wird somit gegenstandslos.</w:t>
      </w:r>
    </w:p>
    <w:p>
      <w:r>
        <w:rPr>
          <w:b/>
        </w:rPr>
        <w:t>E. 7.2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die Beschwerdeführerin mit ihrem Hauptbegehren durchgedrungen.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Die Beschwerdeführerin hat keine Kostennote zu den Akten reichen lassen. Auf die Nachreichung einer solchen kann jedoch verzichtet werden, nachdem sich der notwendige Vertretungsaufwand zuverlässig abschätzen lässt. Die Parteientschädigung wird von Amtes wegen und in Berücksichtigung der massgeblichen Bemessungsfaktoren (Art. 8 ff. VGKE) auf Fr. 900.-- (inkl. Auslagen und MWSt.) festgesetzt und ist der Beschwerdeführerin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