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D-4544/2015 vom 25. August 2015</w:t>
      </w:r>
    </w:p>
    <w:p>
      <w:r>
        <w:t>Bundesverwaltungsgericht, 2015-08-25, DE</w:t>
      </w:r>
    </w:p>
    <w:p>
      <w:r>
        <w:rPr>
          <w:b/>
        </w:rPr>
        <w:t xml:space="preserve">Quelle: </w:t>
      </w:r>
      <w:r>
        <w:t>https://mcp.opencaselaw.ch/entscheid/bvger_D-4544_2015</w:t>
      </w:r>
    </w:p>
    <w:p>
      <w:r>
        <w:t>FR: TAF D-4544/2015 du 25 août 2015</w:t>
      </w:r>
    </w:p>
    <w:p>
      <w:r>
        <w:t>IT: TAF D-4544/2015 del 25 agosto 2015</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(vgl. Art. 108 Abs. 1 AsylG; Art. 21 Abs. 2 sowie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(vgl. Art. 48 Abs. 1 VwVG). Auf die Beschwerde ist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Die Übernahme von Einreisekosten ist im Asylgesetz explizit vorgesehen. Art. 92 Abs. 1 AsylG bestimmt,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Rechtsetzungsbefungnis Gebrauch gemacht, indem er in Art. 53 der Asylverordnung 2 vom 11. August 1999 (AsylV 2, SR 142.312) den Kreis der Personen, für welche Einreisekosten übernommen werden können, festgelegt hat. Zu diesen gehören Personen, denen die Einreise in die Schweiz im Rahmen der Familienzusammenführung mit anerkannten Flüchtlingen nach Art. 51 Abs. 4 AsylG oder nach Art. 85 Abs. 7 AuG (SR 142.20) bewilligt wird (Art. 53 Bst. d AsylV 2).</w:t>
      </w:r>
    </w:p>
    <w:p>
      <w:r>
        <w:rPr>
          <w:b/>
        </w:rPr>
        <w:t>E. 4.2</w:t>
      </w:r>
    </w:p>
    <w:p>
      <w:r>
        <w:t>Aus den Materialien zu Art. 53 AsylV 2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S. 34; vgl. in Bezug auf die Qualifikation des Entscheids betreffend Übernahme von Einreisekosten als Ermessensfrage gestützt auf aArt. 53 AsylV 2 auch BVGE 2014/22).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Asylgesetz vom 16. Dezember 2005, Bericht zur Änderung der Asylverordnungen 1, 2 und 3 sowie der Verordnung über den Vollzug der Weg- und Ausweisung von ausländischen Personen [VVWA]).</w:t>
      </w:r>
    </w:p>
    <w:p>
      <w:r>
        <w:rPr>
          <w:b/>
        </w:rPr>
        <w:t>E. 4.3</w:t>
      </w:r>
    </w:p>
    <w:p>
      <w:r>
        <w:t>Diese Praxis ist vom Bundesverwaltungsgericht grundsätzlich bestätigt worden. Allerdings wurde - soweit nach erfolgter Einreise gestellte Gesuche um nachträgliche Übernahme beziehungsweise Rückerstattung der Einreisekosten vom SEM gemäss der in den Materialien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kann eine Kostenübernahme durch den Bund nicht von vornherein ausgeschlossen werden (vgl. Urteil des BVGer D-2559/2015 vom 11. Juni 2015 E. 3.3 m.w.H.).</w:t>
      </w:r>
    </w:p>
    <w:p>
      <w:r>
        <w:rPr>
          <w:b/>
        </w:rPr>
        <w:t>E. 5.1</w:t>
      </w:r>
    </w:p>
    <w:p>
      <w:r>
        <w:t>Das SEM führte zur Begründung der angefochtenen Verfügung im Wesentlichen aus, der Beschwerdeführer sei mit Schreiben vom 10. April 2015 aufgefordert worden, einen Bericht über seine persönliche finanzielle Situation sowie diejenige seiner Ehefrau und anderer naher Verwandten einzureichen. Dieses Schreiben sei unbeantwortet geblieben. Aufgrund der Aktenlage ergebe sich zudem, dass der Beschwerdeführer Teil einer grossen Familie sei. Es müsse deshalb davon ausgegangen werden, dass er und seine Familie für die Reisekosten seiner Ehefrau und Kinder aufkommen könnten.</w:t>
      </w:r>
    </w:p>
    <w:p>
      <w:r>
        <w:rPr>
          <w:b/>
        </w:rPr>
        <w:t>E. 5.2</w:t>
      </w:r>
    </w:p>
    <w:p>
      <w:r>
        <w:t>Die Beschwerdevorbringen beschränken sich im Wesentlichen auf die bereits im Gesuch vom 2. April 2015 gemachten Ausführungen. Damit gelingt es dem Beschwerdeführer nicht, die Annahme der Vorinstanz zu widerlegen, er und seine Familie würden über genügend finanzielle Mittel verfügen, um für die Einreisekosten seiner Frau und Kinder aufzukommen. Der Beschwerdeführer bezieht in der Schweiz zwar nachweislich Sozialhilfe, er hat aber - trotz entsprechender Aufforderung durch das SEM - sowohl im vorinstanzlichen Verfahren als auch auf Beschwerdeebene weder über die finanzielle Situation seiner nahen Familienangehörigen berichtet noch dargelegt, wie er seine Reise nach Malaysia, seinen Lebensunterhalt in Malaysia und seine Reise in die Schweiz finanzierte und wie seine Ehefrau den Lebensunterhalt in Sri Lanka (während seiner Abwesenheit) bestritt. Die Tatsache, dass seine Ehefrau und seine Kinder während des hängigen Verfahrens (um Übernahme der Einreisekosten) in die Schweiz eingereist sind, spricht ebenfalls dafür, dass durchaus finanzielle Mittel vorhanden waren/sind. Aus den Akten ergibt sich nicht schlüssig, wer tatsächlich für die Einreisekosten aufgekommen ist. Der Beschwerdeführer hat jedenfalls nicht geltend gemacht, er habe sich durch Aufnahme eines Darlehens bei einem Kreditinstitut verschulden müssen beziehungsweise habe die finanziellen Mittel von dritter Seite vorgestreckt erhalten. Ebenso wenig wird im Übrigen dargelegt, geschweige denn belegt, dass, wem und wann der Beschwerdeführer die entstandenen Kosten zurückerstatten müsste.</w:t>
      </w:r>
    </w:p>
    <w:p>
      <w:r>
        <w:rPr>
          <w:b/>
        </w:rPr>
        <w:t>E. 5.3</w:t>
      </w:r>
    </w:p>
    <w:p>
      <w:r>
        <w:t>Das Bundesverwaltungsgericht greift bei Ermessensentscheiden der Vorinstanz nur ein, wenn sie das ihr eingeräumte Ermessen über- beziehungsweise unterschreitet oder missbraucht und damit Bundesrecht verletzt (vgl. BVGE 2014/22 E. 5.5 bis 5.8), was vorliegend nicht der Fall ist.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