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D-4543/2017 vom 19. Juni 2018</w:t>
      </w:r>
    </w:p>
    <w:p>
      <w:r>
        <w:t>Bundesverwaltungsgericht, 2018-06-19, DE</w:t>
      </w:r>
    </w:p>
    <w:p>
      <w:r>
        <w:rPr>
          <w:b/>
        </w:rPr>
        <w:t xml:space="preserve">Quelle: </w:t>
      </w:r>
      <w:r>
        <w:t>https://mcp.opencaselaw.ch/entscheid/bvger_D-4543_2017</w:t>
      </w:r>
    </w:p>
    <w:p>
      <w:r>
        <w:t>FR: TAF D-4543/2017 du 19 juin 2018</w:t>
      </w:r>
    </w:p>
    <w:p>
      <w:r>
        <w:t>IT: TAF D-4543/2017 del 19 giugno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Mit Zwischenverfügung vom 18. August 2017 wurde dem Beschwerdeführer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 Der Beschwerdeentscheid ist entsprechend nur summarisch zu begründen (Art. 111a Abs. 2 AsylG).</w:t>
      </w:r>
    </w:p>
    <w:p>
      <w:r>
        <w:rPr>
          <w:b/>
        </w:rPr>
        <w:t>E. 4</w:t>
      </w:r>
    </w:p>
    <w:p>
      <w:r>
        <w:t>Gemäss ihren Anträgen richtet sich die Beschwerde ausschliesslich gegen den Vollzug der Wegweisung. Die Ziffern 1 (Verneinung der Flüchtlingseigenschaft), 2 (Ablehnung des Asylgesuchs) und 3 (Wegweisung aus der Schweiz) des Dispositivs der Verfügung vom 11. Juli 2017 sind mangels Anfechtung in Rechtskraft erwachsen.</w:t>
      </w:r>
    </w:p>
    <w:p>
      <w:r>
        <w:rPr>
          <w:b/>
        </w:rPr>
        <w:t>E. 5.1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Beim Geltendmachen von Wegweisungsvollzugshindernissen gilt gemäss ständiger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dass der Beschwerdeführer die Flüchtlingseigenschaft nicht erfüllt.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5.3.1</w:t>
      </w:r>
    </w:p>
    <w:p>
      <w:r>
        <w:t>Die Vorinstanz führte aus, der Wegweisungsvollzug sei zumutbar, da eine Rückkehr nach Kabul gemäss Rechtsprechung (Grundsatzurteil des BVGer E-7625/2008 vom 16. Juni 2011 [BVGE 2011/7]) bei Vorliegen begünstigender Umstände als zumutbar zu erachten sei. Der Beschwerdeführer stamme aus Kabul und es lägen keine individuellen Gründe vor, die zu einer Annahme der Unzumutbarkeit des Wegweisungsvollzuges führten. Die gesamte Familie lebe in Kabul und gehöre gemäss den Aussagen des Beschwerdeführers zur Mittelschicht. Der Vater des Beschwerdeführers arbeite als (...) und die Geschwister würden ebenfalls zur Haushaltskasse beigetragen. Der Beschwerdeführer sei einige Jahre zur Schule gegangen und habe diverse berufliche Tätigkeiten ausgeübt. Es sei davon auszugehen, dass die Familie, mit der er regelmässig Kontakt habe, ihn bei der Wiedereingliederung unterstützen werde.</w:t>
      </w:r>
    </w:p>
    <w:p>
      <w:r>
        <w:rPr>
          <w:b/>
        </w:rPr>
        <w:t>E. 5.3.2</w:t>
      </w:r>
    </w:p>
    <w:p>
      <w:r>
        <w:t>In der Beschwerde wird dagegen ausgeführt, angesichts der in jüngster Zeit in Kabul verübten Anschläge, welche unter der afghanischen Zivilbevölkerung zahlreiche Opfer gefordert hätten, dränge sich die Frage auf, ob der Vollzug der Wegweisung nach Afghanistan und speziell nach Kabul aufgrund der verschlechterten Sicherheitssituation nicht als generell unzumutbar beurteilt werden müsse. Seit dem Referenzurteil E-7625/2008 vom 16. Juni 2011 sei der Konflikt in Afghanistan eskaliert. Der Beschwerdeführer habe selber miterleben müssen, wie Verwandte und Freunde bei Anschlägen in Kabul ihr Leben verloren hätten. Auch der beiliegenden Schnellrecherche der SFH-Länderanalyse vom 19. Juni 2017 sei zu entnehmen, dass sich die Sicherheitslage 2016 und 2017 massiv verschlechtert habe. Es gebe für zivile Personen keine Sicherheit vor Terroranschlägen und davor, in das Kreuzfeuer extremistischer Gruppierungen zu geraten. Bei einer Rückkehr nach Kabul könne der Beschwerdeführer jederzeit Opfer eines Terroranschlages oder einer extremistischen Gruppierung werden. Daher seien berechtigte Zweifel angebracht, dass die afghanischen Behörden dem Beschwerdeführer im Alltag den für seine Sicherheit erforderlichen Schutz gewährleisten könnten.</w:t>
      </w:r>
    </w:p>
    <w:p>
      <w:r>
        <w:rPr>
          <w:b/>
        </w:rPr>
        <w:t>E. 5.3.3</w:t>
      </w:r>
    </w:p>
    <w:p>
      <w:r>
        <w:t>Die Vorinstanz bejahte in ihrer Vernehmlassung mit Hinweis auf das Referenzurteil des Bundesverwaltungsgerichtes D-5800/2016 vom 13. Oktober 2017 das Vorliegen besonders begünstigender Umstände.</w:t>
      </w:r>
    </w:p>
    <w:p>
      <w:r>
        <w:rPr>
          <w:b/>
        </w:rPr>
        <w:t>E. 5.3.4</w:t>
      </w:r>
    </w:p>
    <w:p>
      <w:r>
        <w:t>Den Ausführungen in der Beschwerde ist insofern beizupflichten, als sich auch das Bundesverwaltungsgericht angesichts des Zeitablaufs seit dem Grundsatzurteil BVGE 2011/7 zu einer Überprüfung seiner Rechtsprechung veranlasst sah. In seinem als Referenzurteil publizierten Entscheid D-5800/2016 vom 13. Oktober 2017 kam das BVGer zum Schluss, es sei generell von einer deutlichen Verschlechterung der Situation auszugehen, die Lage in Kabul sei als grundsätzlich existenzbedrohend und somit unzumutbar im Sinne von Art. 83 Abs. 4 AuG zu qualifizieren. Von dieser Regel könne aber abgewichen werden, falls besonders begünstigende Faktoren vorliegen, aufgrund derer ausnahmsweise von der Zumutbarkeit des Vollzugs ausgegangen werden könne. Für die Anforderungen an das Vorliegen solcher besonders begünstigender Faktoren wird auf das erwähnte Referenzurteil verwiesen.</w:t>
      </w:r>
    </w:p>
    <w:p>
      <w:r>
        <w:rPr>
          <w:b/>
        </w:rPr>
        <w:t>E. 5.3.5</w:t>
      </w:r>
    </w:p>
    <w:p>
      <w:r>
        <w:t>Der Beschwerdeführer ist (...) Jahre alt (vgl. act. A8, S. 2) und, soweit aus den Akten ersichtlich, guter Gesundheit (vgl. act. A8, S. 7). Er ist in Kabul geboren und hat dort bis zur Ausreise gelebt (vgl. act. A8, S. 3). Seine gesamte Familie, bestehend aus seinen Eltern, Geschwistern, Onkeln und Tanten mit Familien, lebt in Kabul (vgl. act. A8, S. 4; act. A21, S. 3, 4). Er hat mit seinen Eltern, Geschwistern und der Familie seines Onkels väterlicherseits zusammengewohnt (vgl. act. A21, S. 3, 4), wobei sein Vater mit seinem Verdienst als (...) und der Beschwerdeführer und sein Bruder mit ihren Tätigkeiten auch zum Haushaltseinkommen beigetragen haben (vgl. act. A21, S. 5). Den Angaben des Beschwerdeführers nach kamen sie finanziell über die Runden und gehören der Mittelschicht an (vgl. act. A21, S. 5). Sie sind zudem Eigentümer eines Hauses mit kleinem Hof (vgl. act. A21, S. 3). Der Beschwerdeführer hat zwar nur sechs Jahre die Schule besucht, konnte danach aber mit diversen beruflichen Tätigkeiten als Laufbursche und fliegender Händler Geld verdienen (vgl. act. A21, S. 5, 6). Da er bei seiner Familie gewohnt hat und zu dieser in gutem und regelmässigem Kontakt steht (vgl. act. A21, S. 3), ist davon auszugehen, dass er nach seiner Rückkehr wieder dort leben kann und die Familie ihn, falls dies angesichts der breitgefächerten Arbeitserfahrung des Beschwerdeführers notwendig sein sollte, beim Auffinden einer Arbeitsstelle unterstützen wird. Er verfügt mit seiner Familie vor Ort somit über ein tragfähiges familiäres Beziehungsnetz, das ihm bei der Rückkehr Unterkunft, Grundversorgung sowie Hilfe zur sozialen und wirtschaftlichen Reintegration wird bieten können. Eine Gesamtwürdigung ergibt damit, dass im Sinne der oben dargelegten Rechtsprechung in Bezug auf Kabul besonders begünstigende Umstände vorliegen. Es ist demnach trotz der schwierigen Sicherheitslage in Kabul nicht davon auszugehen, dass der Beschwerdeführer bei einer Rückkehr nach Kabul in eine existenzielle Notlage geraten wird, weshalb sich der Vollzug als zumutbar erweist.</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der Antrag auf Gewährung der unentgeltlichen Prozessführung mit Zwischenverfügung vom 18. August 2017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