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D-4542/2023 vom 20. Juli 2023</w:t>
      </w:r>
    </w:p>
    <w:p>
      <w:r>
        <w:t>Bundesverwaltungsgericht, 2023-07-20, FR</w:t>
      </w:r>
    </w:p>
    <w:p>
      <w:r>
        <w:rPr>
          <w:b/>
        </w:rPr>
        <w:t xml:space="preserve">Quelle: </w:t>
      </w:r>
      <w:r>
        <w:t>https://mcp.opencaselaw.ch/entscheid/bvger_D-4542_2023_d20230720</w:t>
      </w:r>
    </w:p>
    <w:p>
      <w:r>
        <w:t>FR: TAF D-4542/2023 du 20 juillet 2023</w:t>
      </w:r>
    </w:p>
    <w:p>
      <w:r>
        <w:t>IT: TAF D-4542/2023 del 20 luglio 2023</w:t>
      </w:r>
    </w:p>
    <w:p>
      <w:pPr>
        <w:pStyle w:val="Heading2"/>
      </w:pPr>
      <w:r>
        <w:t>Regeste</w:t>
      </w:r>
    </w:p>
    <w:p>
      <w:r>
        <w:t>Asile et renvoi | Asile et renvoi (procédure accélérée); décision du SEM du 20 juillet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w:t>
      </w:r>
    </w:p>
    <w:p>
      <w:r>
        <w:rPr>
          <w:b/>
        </w:rPr>
        <w:t>E. 1.3</w:t>
      </w:r>
    </w:p>
    <w:p>
      <w:r>
        <w:t>Il est renoncé à un échange d’écritures (art. 111a al. 1 LAsi).</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Il convient d’examiner en premier lieu les griefs formels soulevés par le recourant, ceux-ci étant susceptibles d’entraîner l'annulation de la décision attaquée indépendamment des chances de succès du recours sur le fond</w:t>
      </w:r>
    </w:p>
    <w:p>
      <w:r>
        <w:t>D-4542/2023 Page 6 (cf. ATF 144 I 11 consid. 5.3 et la jurisp. cit. ; ATAF 2019 VII/6 consid. 4.1 ; 2013/34 consid. 4.2 ; 2013/23 consid. 6.1.3 ; 2010/35 consid. 4.1.1 et jurisp. cit.).</w:t>
      </w:r>
    </w:p>
    <w:p>
      <w:r>
        <w:rPr>
          <w:b/>
        </w:rPr>
        <w:t>E. 2.2</w:t>
      </w:r>
    </w:p>
    <w:p>
      <w:r>
        <w:t>Le recourant a reproché au SEM un défaut d’instruction et de motivation en relation avec la connotation politique de sa (…) ainsi que de ses (…) et son contexte familial.</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w:t>
      </w:r>
    </w:p>
    <w:p>
      <w:r>
        <w:t>D-4542/2023 Page 7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 SEM a repris l’intégralité des éléments allégués par l’intéressé lors de son audition du 6 juillet 2023 (cf. décision attaquée, consid. I.) et les a appréciés. Ainsi, il a retenu qu’en raison de sa (…) et de ses (…), par lesquels il avait défendu la culture kurde, il avait été victime de tracasseries et discriminations. Cependant, il a considéré que ces mesures n’atteignaient pas une intensité suffisante au regard du droit de l’asile (cf. consid. II pt. 1, p. 3). La question de savoir si c’est à juste titre qu’il a estimé que les activités de l’intéressé n’avaient pas la composante politique alléguée relève du fond et sera examinée plus loin. De même, s’agissant du contexte familial, le SEM a considéré que bien que lors de ses arrestations, les autorités turques lui rappelaient les activités politiques des membres de sa famille en faveur du HDP ou du PKK, il avait été libéré à chaque fois, sans qu’une procédure pénale n’ait été ouverte à son encontre (consid. II pt. 2, p. 4). Ainsi, le SEM a motivé les raisons pour lesquelles il avait considéré que les préjudices invoqués ne satisfaisaient pas aux conditions requises pour la reconnaissance de la qualité de réfugié. L’intéressé a donc pu attaquer la décision de refus de reconnaissance de la qualité de réfugié et de rejet d’asile en toute connaissance de cause, comme l’attestent du reste les arguments au fond du recours. Dite décision ayant été motivée à satisfaction de droit, il n’y a pas lieu d’admettre, sur ce point, une violation du droit d’être entendu. Dans</w:t>
      </w:r>
    </w:p>
    <w:p>
      <w:r>
        <w:t>D-4542/2023 Page 8 ces conditions, le SEM a considéré à juste titre qu’il n’avait pas à instruire davantage la présente affaire.</w:t>
      </w:r>
    </w:p>
    <w:p>
      <w:r>
        <w:rPr>
          <w:b/>
        </w:rPr>
        <w:t>E. 2.4</w:t>
      </w:r>
    </w:p>
    <w:p>
      <w:r>
        <w:t>Au vu de ce qui précède, les griefs d’ordre formels soulevés par le recourant doivent être rejetés, à l’instar de la conclusion du recours tendant à l’annulation de la décision attaquée et au renvoi de la cause au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4.1</w:t>
      </w:r>
    </w:p>
    <w:p>
      <w:r>
        <w:t>Il s’agit en premier lieu d’examiner si l’intéressé a subi de sérieux préjudices au sens de l’art. 3 LAsi, avant son départ de Turquie.</w:t>
      </w:r>
    </w:p>
    <w:p>
      <w:r>
        <w:t>D-4542/2023 Page 9</w:t>
      </w:r>
    </w:p>
    <w:p>
      <w:r>
        <w:rPr>
          <w:b/>
        </w:rPr>
        <w:t>E. 4.2.1</w:t>
      </w:r>
    </w:p>
    <w:p>
      <w:r>
        <w:t>En l’espèce, aucun élément du dossier ne permet d’admettre qu’il remplissait les conditions à la reconnaissance de la qualité de réfugié, selon l’art. 3 LAsi, au moment de son départ de Turquie.</w:t>
      </w:r>
    </w:p>
    <w:p>
      <w:r>
        <w:rPr>
          <w:b/>
        </w:rPr>
        <w:t>E. 4.2.2</w:t>
      </w:r>
    </w:p>
    <w:p>
      <w:r>
        <w:t>En effet, il ressort des déclarations de l’intéressé qu’il aurait commencé à (…) et à (…) avec son groupe de (…) au cours de l’année (…) (cf. procès-verbal d’audition [p.-v.] du 6 juillet 2023, réponse à la question 46, p. 5). Depuis, il aurait été arrêté à plusieurs reprises, à l’instar des membres de son groupe. Or, même si les arrestations et les détentions au poste de police étaient vraisemblables, force est de constater qu’il a toujours été relâché après quelques heures seulement. De plus, les autorités turques n’ont entamé aucune procédure pénale à son encontre, ce qu’elles n’auraient pas manqué de faire, si elles avaient estimé que les (…) du groupe avaient une connotation politique, respectivement étaient favorables au PKK, et qu’elles avaient considéré l’intéressé et les membres de son groupe comme des terroristes (cf. p.-v. du 6 juillet 2023, réponse à la question 89). De même, l’événement qui aurait entraîné la fuite de l’intéressé de Turquie n’apparaît pas être en adéquation avec le danger qu’il aurait pu représenter pour les autorités. En effet, si les autorités avaient réellement exercé de telles pressions sur le recourant depuis (…), au point qu’elles étaient devenues insupportables, et qu’elles l’accusaient de faire de la propagande en faveur du PKK (cf. p.-v. du 6 juillet 2023, réponse à la question 46, p. 6), celles-ci ne se seraient pas contentées de le menacer une nouvelle fois lors de son audition au poste de police le (…) ou (…) 2023 et de le laisser à nouveau partir. En outre, les arrestations et les détentions au poste de police, telles qu’alléguées par l’intéressé, n’atteignent pas un degré d’intensité suffisant susceptible de constituer une persécution déterminante pour la reconnaissance de la qualité de réfugié.</w:t>
      </w:r>
    </w:p>
    <w:p>
      <w:r>
        <w:rPr>
          <w:b/>
        </w:rPr>
        <w:t>E. 4.2.3</w:t>
      </w:r>
    </w:p>
    <w:p>
      <w:r>
        <w:t>Cela dit, le recourant a produit de nombreux documents concernant la répression exercée sur les (…) kurdes, ainsi qu’une liste de (…) turcs tués. Toutefois, ces documents ne sont pas déterminants en l’espèce, dans la mesure où ils ne concernent pas directement sa situation personnelle. De même, l’intéressé a expressément cité le cas du (…) kurde G._______. Il y a cependant lieu de relever que ce dernier a été assassiné par un fasciste turc, qui a été condamné à la perpétuité pour cet acte (cf. https: […], consulté le 29 juillet 2024). S’agissant de la vidéo se trouvant sur la clé USB produite, celle-ci montre l’intéressé lors d’une fête du Newroz, en (…). Celui-ci a soutenu que les policiers, qui avaient pris cette vidéo, lui</w:t>
      </w:r>
    </w:p>
    <w:p>
      <w:r>
        <w:t>D-4542/2023 Page 10 avaient passé ces images lorsqu’il se trouvait au poste. Force est toutefois de constater que ces événements sont restés sans conséquence pour lui, dans la mesure où il a été à chaque fois relâché, sans qu’une procédure pénale ne soit entamée.</w:t>
      </w:r>
    </w:p>
    <w:p>
      <w:r>
        <w:rPr>
          <w:b/>
        </w:rPr>
        <w:t>E. 4.2.4</w:t>
      </w:r>
    </w:p>
    <w:p>
      <w:r>
        <w:t>Par ailleurs, l’intéressé a déclaré que des membres de sa famille exerçaient des activités politiques. Ainsi, deux (…) seraient tombés en martyrs dans les rangs du PKK et une (…) de sa mère serait la (…) de la section du HDP de H._______.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l’espèce, si les policiers ont parlé à l’intéressé des membres de sa famille lors de ses passages au poste (cf. p.-v. du 6 juillet 2023, réponse à la question 49), il n’a pas connu personnellement d’autres problèmes en raison de l’activisme de ceux-ci. Au stade du recours, l’intéressé a soutenu que son père était convoqué à une audience le (…) à la place du (…) de celui-ci, respectivement son (…). Toutefois, le recourant n’a pas fait valoir avoir été personnellement recherché ou visé de quelque manière que ce soit par les autorités turques en lien avec les activités politiques de membres de sa famille. De même, il n’a pas indiqué en quoi la situation de son (…), qui disposerait du statut de réfugié en Suisse, aurait ou pourrait influencer la sienne. En outre, à supposer que les problèmes rencontrés par son (…) soient toujours actuels, on ne voit pas en quoi ils seraient susceptibles de le concerner, l’intéressé étant resté muet sur ce point. Aussi, un risque de persécution réfléchie à son encontre peut ainsi être exclu.</w:t>
      </w:r>
    </w:p>
    <w:p>
      <w:r>
        <w:rPr>
          <w:b/>
        </w:rPr>
        <w:t>E. 4.2.5</w:t>
      </w:r>
    </w:p>
    <w:p>
      <w:r>
        <w:t>Enfin, même si l’intéressé était sympathisant du HDP et fréquentait son local, il n’en était pas membre. En tout état de cause, s’il devait être</w:t>
      </w:r>
    </w:p>
    <w:p>
      <w:r>
        <w:t>D-4542/2023 Page 11 connu des autorités turques, en particulier de la police, en tant que sympathisant du parti HDP, cela ne serait pas une raison suffisante pour admettre une crainte objectivement fondée d’être exposé dans un avenir prochain à une persécution à son retour au pays (cf. dans le même sens, arrêt du Tribunal E-1790/2022 du 2 mai 2022 p. 7 et les réf. cit.). En effet, le profil du recourant, tel qu’il ressort du dossier, ne se distingue ainsi pas fondamentalement de celui de nombreux autres Kurdes de Turquie. Dans ces circonstances, tout indique qu’il n’a pas occupé un rôle d’opposition de premier plan, susceptible de l’exposer à des traitements pertinents sous l’angle du droit d’asile. Cette conclusion est corroborée par le fait que l’intéressé n’a pas déclaré avoir connaissance de procédures ouvertes à son encontre en Turquie.</w:t>
      </w:r>
    </w:p>
    <w:p>
      <w:r>
        <w:rPr>
          <w:b/>
        </w:rPr>
        <w:t>E. 4.2.6</w:t>
      </w:r>
    </w:p>
    <w:p>
      <w:r>
        <w:t>Dès lors, c’est à raison que le SEM a dénié la qualité de réfugié et refusé d’octroyer l’asile au recourant. Il s’ensuit que le recours doit être rejeté sur ces points.</w:t>
      </w:r>
    </w:p>
    <w:p>
      <w:r>
        <w:rPr>
          <w:b/>
        </w:rPr>
        <w:t>E. 4.3.1</w:t>
      </w:r>
    </w:p>
    <w:p>
      <w:r>
        <w:t>Le recourant a encore soutenu que depuis son arrivée en Suisse il communique publiquement son opposition au gouvernement turc sur les réseaux sociaux en répondant régulièrement aux déclarations du Président et en dénonçant la répression exercée sur les Kurdes, notamment les artistes. Il a produit des captures d’écran en relation avec des publications en faveur du peuple kurde sur le réseau social X.</w:t>
      </w:r>
    </w:p>
    <w:p>
      <w:r>
        <w:rPr>
          <w:b/>
        </w:rPr>
        <w:t>E. 4.3.2</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t>D-4542/2023 Page 12</w:t>
      </w:r>
    </w:p>
    <w:p>
      <w:r>
        <w:rPr>
          <w:b/>
        </w:rPr>
        <w:t>E. 4.3.3</w:t>
      </w:r>
    </w:p>
    <w:p>
      <w:r>
        <w:t>En l’espèce, l’activité en exil de l’intéressé se résume à avoir publié des commentaires sur le réseau social X (cf. captures d’écran en relation avec ces publications). Le recourant n’a ainsi pas agi au-delà du cadre habituel d’opposition de masse. Il n’a pas non plus démontré que son activité ait été d’une nature telle qu’elle pourrait représenter une menace sérieuse et concrète pour les autorités turques, ni qu’elle soit parvenue à la connaissance de ces dernières. En tout état de cause, il ne se distingue pas par un rôle particulier susceptible de le mettre dans le collimateur des autorités. Enfin, il n’a pas démontré qu’il faisait l’objet d’une procédure pénale en Turquie en raison de ces faits depuis son arrivée en Suisse.</w:t>
      </w:r>
    </w:p>
    <w:p>
      <w:r>
        <w:rPr>
          <w:b/>
        </w:rPr>
        <w:t>E. 4.4</w:t>
      </w:r>
    </w:p>
    <w:p>
      <w:r>
        <w:t>En conséquence, il n’y a pas lieu non plus de reconnaître au recourant la qualité de réfugié pour des motifs subjectifs survenus après la fuite de Turquie (art. 3 et 54 LAsi).</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w:t>
      </w:r>
    </w:p>
    <w:p>
      <w:r>
        <w:t>D-4542/2023 Page 13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6.2.3</w:t>
      </w:r>
    </w:p>
    <w:p>
      <w:r>
        <w:t>Par ailleurs, pour les motifs exposés, l’intéressé n’a pas non plus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w:t>
      </w:r>
    </w:p>
    <w:p>
      <w:r>
        <w:t>D-4542/2023 Page 14 locale, en particulier en matière de pénurie de logements et d'emplois, ne suffisent pas en soi à réaliser une telle mise en danger (cf. ATAF 2014/26 consid. 7.6 ; 2010/41 consid. 8.3.6 ; 2009/52 consid. 10.1 ; 2008/34 consid. 11.2.2).</w:t>
      </w:r>
    </w:p>
    <w:p>
      <w:r>
        <w:rPr>
          <w:b/>
        </w:rPr>
        <w:t>E. 6.3.3</w:t>
      </w:r>
    </w:p>
    <w:p>
      <w:r>
        <w:t>S’agissant de la Turquie, malgré la résurgence, depuis le mois de juillet 2015, du conflit turco-kurde suite à la reprise d’affrontements directs entre les membres du PKK et les forces de sécurité étatique dans plusieurs provinces du sud-est, le pays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6.3.4</w:t>
      </w:r>
    </w:p>
    <w:p>
      <w:r>
        <w:t>Le recourant vient de la province D._______, affectée par le tremblement de terre de février 2023. Toutefois, il ne ressort du dossier aucun élément dont on pourrait inférer que l'exécution du renvoi le mettrait en danger de manière concrète. En effet, il est jeune, en bonne santé, sans charge de famille et a été professionnellement actif dans son pays d’origine. De plus, sa maison à C._______ est ressortie intacte du tremblement de terre (cf. p.-v. du 6 juillet 2023, réponse à la question 96). Dans ses efforts de réinstallation, il pourra compter sur ses parents qui vivent toujours dans la région et avec lesquels il a gardé contact (cf. p.-v. du 6 juillet 2023, réponse à la question 25) ainsi que sur son frère, qui gère une société de (…) (cf. p.-v. du 6 juillet 2023, réponse à la question 31). Si l’intéressé devait considérer que le retour dans sa province d’origine s’avérerait problématique, il apparaît réalisable, au regard de sa situation personnelle, qu’il se réinstalle dans une autre région de la Turquie. En effet, comme le Tribunal l’a déjà constaté dans des arrêts récents, la Turquie connait le principe de la liberté d’établissement, qui offre à l’intéressé l’alternative de s’installer dans une autre région de son pays (cf. arrêts du Tribunal E-63/2024 du 8 février 2024 et E-4066/2020 du 1er février 2024). Dans cette perspective, l’intéressé parle le turc, ayant été entendu dans cette langue lors de son audition (cf. p.-v. du 6 juillet 2023, réponse à la question 1 et p. 15).</w:t>
      </w:r>
    </w:p>
    <w:p>
      <w:r>
        <w:t>D-4542/2023 Page 15</w:t>
      </w:r>
    </w:p>
    <w:p>
      <w:r>
        <w:rPr>
          <w:b/>
        </w:rPr>
        <w:t>E. 6.3.5</w:t>
      </w:r>
    </w:p>
    <w:p>
      <w:r>
        <w:t>Pour ces motifs, l'exécution du renvoi doit être considérée comme raisonnablement exigible.</w:t>
      </w:r>
    </w:p>
    <w:p>
      <w:r>
        <w:rPr>
          <w:b/>
        </w:rPr>
        <w:t>E. 6.4.1</w:t>
      </w:r>
    </w:p>
    <w:p>
      <w:r>
        <w:t>L'exécution n'est pas possible lorsque l'étranger ne peut pas quitter la Suisse pour son Etat d'origine, son Etat de provenance ou un Etat tiers, ni être renvoyé dans un de ces Etats (art. 83 al. 2 LEI).</w:t>
      </w:r>
    </w:p>
    <w:p>
      <w:r>
        <w:rPr>
          <w:b/>
        </w:rPr>
        <w:t>E. 6.4.2</w:t>
      </w:r>
    </w:p>
    <w:p>
      <w:r>
        <w:t>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6.5</w:t>
      </w:r>
    </w:p>
    <w:p>
      <w:r>
        <w:t>Partant, l’autorité intimée a considéré à bon droit que l’exécution du renvoi du recourant était licite, raisonnablement exigible et possible. Il s’ensuit que le recours doit également être rejeté en tant qu’il conteste l’exécution du renvoi.</w:t>
      </w:r>
    </w:p>
    <w:p>
      <w:r>
        <w:rPr>
          <w:b/>
        </w:rPr>
        <w:t>E. 7</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8</w:t>
      </w:r>
    </w:p>
    <w:p>
      <w:r>
        <w:t>Le présent arrêt rend sans objet la demande de dispense du versement de l’avance de frais.</w:t>
      </w:r>
    </w:p>
    <w:p>
      <w:r>
        <w:rPr>
          <w:b/>
        </w:rPr>
        <w:t>E. 9.1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D-4542/2023 Page 16</w:t>
      </w:r>
    </w:p>
    <w:p>
      <w:r>
        <w:rPr>
          <w:b/>
        </w:rPr>
        <w:t>E. 9.2</w:t>
      </w:r>
    </w:p>
    <w:p>
      <w:r>
        <w:t>Toutefois, les conclusions du recours n’étant pas d’emblée vouées à l’échec et le recourant pouvant être tenu pour indigent, la demande d’assistance judiciaire partielle (art. 65 al. 1 PA) doit être admise.</w:t>
      </w:r>
    </w:p>
    <w:p>
      <w:r>
        <w:rPr>
          <w:b/>
        </w:rPr>
        <w:t>E. 9.3</w:t>
      </w:r>
    </w:p>
    <w:p>
      <w:r>
        <w:t>Il y a ainsi lieu de statuer sans frais.</w:t>
      </w:r>
    </w:p>
    <w:p>
      <w:r>
        <w:t>(dispositif page suivante)</w:t>
      </w:r>
    </w:p>
    <w:p>
      <w:r>
        <w:t>D-4542/2023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