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D-453/2014 vom 4. Februar 2014</w:t>
      </w:r>
    </w:p>
    <w:p>
      <w:r>
        <w:t>Bundesverwaltungsgericht, 2014-02-04, DE</w:t>
      </w:r>
    </w:p>
    <w:p>
      <w:r>
        <w:rPr>
          <w:b/>
        </w:rPr>
        <w:t xml:space="preserve">Quelle: </w:t>
      </w:r>
      <w:r>
        <w:t>https://mcp.opencaselaw.ch/entscheid/bvger_D-453_2014</w:t>
      </w:r>
    </w:p>
    <w:p>
      <w:r>
        <w:t>FR: TAF D-453/2014 du 4 février 2014</w:t>
      </w:r>
    </w:p>
    <w:p>
      <w:r>
        <w:t>IT: TAF D-453/2014 del 4 febbraio 2014</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endgültig (vgl. Art. 83 Bst. d Ziff. 1 des Bundesgerichtsgesetzes vom 17. Juni 2005 [BGG, SR 173.110]; Art. 105 des Asylgesetzes vom 26. Juni 1998 [AsylG, SR 142.31]). Gegen das unrechtmässige Verweigern oder Verzögern einer anfechtbaren Verfügung kann Beschwerde geführt werden (Art. 46a VwVG). Beschwerde kann wie gegen die Verfügung selbst geführt werden (vgl. Markus Müller, in: Auer/Müller/Schindler (Hrsg.), Kommentar zum Bundesgesetz über das Verwaltungsverfahren (VwVG), Zürich 2008, Rz. 3 zu Art. 46a). Demnach ist das Bundesverwaltungsgericht für die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 Da der Beschwerdeführer um Asyl in Form einer anfechtbaren Verfügung ersucht, ist er zur Beschwerdeführung legitimiert.</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dem Beschwerdeführer zumutbaren Sorgfaltspflicht. Verweigert die Behörde ausdrücklich den Erlass einer Verfügung, so ist nach diesen Grundsätzen innerhalb der gesetzlichen Frist von 30 Tagen Beschwerde zu erheben (Urteil des Bundesgerichts 2P.16/2002; BVGE 2008/15; Markus Müller, a.a.O., Rz. 10 zu Art. 46a; René Rhinow/Heinrich Koller/Christina Kiss/Daniela Thurnherr/Denise Brühl-Moser, Öffentliches Prozessrecht, 2. Aufl., Basel 2010, Rz. 1606). Das schutzwürdige Interesse des Beschwerdeführers an der Vornahme der allenfalls verzögerten Amtshandlung manifestiert sich vorliegend bereits in den sich bei den Beschwerdeakten befindenden Eingaben, in denen wiederholt um den baldigen Verfahrensabschluss ersucht wurde.</w:t>
      </w:r>
    </w:p>
    <w:p>
      <w:r>
        <w:rPr>
          <w:b/>
        </w:rPr>
        <w:t>E. 1.4</w:t>
      </w:r>
    </w:p>
    <w:p>
      <w:r>
        <w:t>Auf die frist- und formgerecht eingereichte Rechtsverzögerungsbeschwerde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3</w:t>
      </w:r>
    </w:p>
    <w:p>
      <w:r>
        <w:t>Die Prüfungsbefugnis des Bundesverwaltungsgerichts beschränkt sich auf die Frage, ob das Gebot des Rechtsschutzes in angemessener Zeit im konkreten Fall verletzt worden ist oder nicht. Im Falle einer Gutheissung der Beschwerde weist es die Sache mit verbindlichen Weisungen an die Vorinstanz zurück (Art. 61 Abs. 1 VwVG; so noch ausdrücklich alt Art. 70 Abs. 2 VwVG). Hingegen hat sich das Gericht einer Stellungnahme dazu, wie ein unrechtmässig verzögerter Entscheid inhaltlich hätte ausfallen sollen, zu enthalten, da es unter Vorbehalt von speziellen Konstellationen nicht anstelle der untätigen Behörde entscheiden darf, andernfalls der Instanzenzug verkürzt und möglicherweise weitere Rechte der Verfahrensbeteiligten verletzt würden (vgl. BVGE 2008/15 E. 3.1.2 S. 193, m.w.H.).</w:t>
      </w:r>
    </w:p>
    <w:p>
      <w:r>
        <w:rPr>
          <w:b/>
        </w:rPr>
        <w:t>E. 4</w:t>
      </w:r>
    </w:p>
    <w:p>
      <w:r>
        <w:t>In der Rechtsverzögerungsbeschwerde wird unter Hinweis auf Art. 29 Abs. 1 der Bundesverfassung der Schweizerischen Eidgenossenschaft vom 18. April 1999 (BV, SR 101) und die dazu ergangene Rechtsprechung geltend gemacht, es sei für die Behandlung des Gesuches auf Art. 37 AsylG abzustellen. Die dort festgelegten Ordnungsfristen seien nach der bundesgerichtlichen Rechtsprechung für die Angemessenheit der Verfahrensdauer massgeblich. Ausserdem seien unnötige Verzögerungen zu vermeiden.</w:t>
      </w:r>
    </w:p>
    <w:p>
      <w:r>
        <w:rPr>
          <w:b/>
        </w:rPr>
        <w:t>E. 5.1</w:t>
      </w:r>
    </w:p>
    <w:p>
      <w:r>
        <w:t>Das Verbot der Rechtsverweigerung und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5.2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Müller, a.a.O. Rz. 6 zu Art. 46a). Ein Verschulden der Behörde an der Verzögerung wird nicht vorausgesetzt, weshalb sie das Rechtsverzögerungsverbot auch dann verletzt, wenn sie wegen Personalmangels oder Überlastung nicht innert angemessener Frist verfügt (vgl. BGE 107 I b 160 E. 3c, BGE 103 V 190 E. 5.2; Felix Uhlmann/Simone Wälle-Bär, in: Praxiskommentar VwVG, Waldmann/Weissenberger (Hrsg.), Zürich 2009, Art. 46a N 20).</w:t>
      </w:r>
    </w:p>
    <w:p>
      <w:r>
        <w:rPr>
          <w:b/>
        </w:rPr>
        <w:t>E. 5.3.1</w:t>
      </w:r>
    </w:p>
    <w:p>
      <w:r>
        <w:t>Nach den in Art. 37 AsylG festgelegten erstinstanzlichen Verfahrensfristen sind Entscheide nach den Artikeln 38 - 40 in der Regel innerhalb von 20 Arbeitstagen nach der Gesuchstellung zu treffen (Abs. 2) beziehungsweise in der Regel innerhalb von drei Monaten, wenn weitere Abklärungen nach Art. 41 erforderlich sind (Abs. 3), und grundsätzlich innerhalb von zehn Arbeitstagen, wenn es sich um Nichteintretensentscheide handelt (Abs. 1).</w:t>
      </w:r>
    </w:p>
    <w:p>
      <w:r>
        <w:rPr>
          <w:b/>
        </w:rPr>
        <w:t>E. 5.3.2</w:t>
      </w:r>
    </w:p>
    <w:p>
      <w:r>
        <w:t>Dem Bundesverwaltungsgericht ist bekannt, dass die Vorinstanz bei der Bewältigung ihrer hohen Arbeitslast nicht untätig ist und Massnahmen getroffen hat, um die Pendenzen abzubauen. In Anbetracht der hohen Pendenzenzahl kann deshalb offensichtlich nicht jedes Asylverfahren innerhalb der im Asylgesetz vorgegebenen Fristen entschieden werden. Aufgrund dieser besonderen Umstände sind Verfahren, die länger als die gesetzlichen Behandlungsfristen dauern, unvermeidbar, was in der gesetzlichen Formulierung von Art. 37 AsylG ("in der Regel") zum Ausdruck kommt.</w:t>
      </w:r>
    </w:p>
    <w:p>
      <w:r>
        <w:rPr>
          <w:b/>
        </w:rPr>
        <w:t>E. 5.3.3</w:t>
      </w:r>
    </w:p>
    <w:p>
      <w:r>
        <w:t>Wie sich aus den Akten ergibt, fand die Direktanhörung vor dem BFM am 29. März 2010 statt. Seither, mithin seit bald vier Jahren, hat die Vorinstanz keine weiteren erkennbaren Verfahrenshandlungen vorgenommen; ebenso wenig liegt eine anfechtbare Verfügung vor. Hinzu kommt, dass die eingeschriebenen Briefe vom 16. April 2012, vom 22. April 2013, vom 8. Juli 2013 und vom 23. September 2013 des HEKS weder von der Vorinstanz beantwortet noch im Dossier abgelegt wurden; auch die mit Schreiben vom 16. April 2012 eingereichte Vollmacht befindet sich nicht bei den vorinstanzlichen Akten. Die Frage nach dem Zeitpunkt der Zustellung der vorerwähnten Schreiben an die Vorinstanz braucht an dieser Stelle nicht beantwortet zu werden, hätte die Vorinstanz doch, wie sich aus den Akten ergibt, schon vor Jahren entscheiden müssen, dies umso mehr, als sich in vorliegendem Fall keine komplexen Rechtsfragen stellen, die eine Rechtsverzögerung begründen könnten.</w:t>
      </w:r>
    </w:p>
    <w:p>
      <w:r>
        <w:rPr>
          <w:b/>
        </w:rPr>
        <w:t>E. 5.3.4</w:t>
      </w:r>
    </w:p>
    <w:p>
      <w:r>
        <w:t>Zusammenfassend ergibt sich, dass die Vorinstanz ohne ersichtlichen Grund die in Art. 29 Abs. 1 sowie Art. 37 Abs. 2 und 3 AsylG vorgegebenen Behandlungsfristen um mehr als drei Jahre überschritten hat, was einer massiven Überschreitung gleichkommt. Sie hat den Beschwerdeführer zwar angehört, bislang aber noch keine anfechtbare Verfügung erlassen. Die Untätigkeit der Vorinstanz in vorliegendem Verfahren seit mittlerweile 46 Monaten ist unbesehen allfälliger anderer überzeitiger Verfahren zu lange, das Beschleunigungsgebot von Art. 29 Abs. 1 BV somit verletzt.</w:t>
      </w:r>
    </w:p>
    <w:p>
      <w:r>
        <w:rPr>
          <w:b/>
        </w:rPr>
        <w:t>E. 5.4</w:t>
      </w:r>
    </w:p>
    <w:p>
      <w:r>
        <w:t>Die Rüge der Rechtsverzögerung erweist sich demnach als begründet. Die Beschwerde ist gutzuheissen. Die Akten gehen an das BFM zurück, verbunden mit der Anweisung, das Gesuch vom 26. Februar 2010 zügig zu behandeln und einer anfechtbaren Verfügung zuzuführen.</w:t>
      </w:r>
    </w:p>
    <w:p>
      <w:r>
        <w:rPr>
          <w:b/>
        </w:rPr>
        <w:t>E. 6.1</w:t>
      </w:r>
    </w:p>
    <w:p>
      <w:r>
        <w:t>Bei diesem Ausgang des Verfahrens sind keine Verfahrenskosten aufzuerlegen (Art. 63 Abs.1 VwVG). Die Gesuche um Gewährung der unentgeltlichen Rechtspflege sowie um Verzicht auf die Erhebung eines Kostenvorschusses werden gegenstandslos.</w:t>
      </w:r>
    </w:p>
    <w:p>
      <w:r>
        <w:rPr>
          <w:b/>
        </w:rPr>
        <w:t>E. 6.2</w:t>
      </w:r>
    </w:p>
    <w:p>
      <w:r>
        <w:t>Dem rechtlich vertretenen Beschwerdeführer ist angesichts seines Obsiegens zulasten der Vorinstanz eine Parteientschädigung für die ihm notwendigerweise erwachsenen Kosten zuzusprechen (Art. 64 Abs. 1 VwVG sowie Art. 16 Abs. 1 Bst. a VGG i.V.m. Art. 7 Abs. 1 des Reglements vom 21. Februar 2008 über die Kosten und Entschädigungen vor dem Bundesverwaltungsgericht [VGKE, SR 173.320.2]). Die Parteientschädigung umfasst die Kosten der Vertretung sowie allfällige weitere notwendige Auslagen der Partei. Das Gericht setzt die Parteientschädigung aufgrund der eingereichten Kostennote oder, mangels Einreichung einer solchen, aufgrund der Akten fest (Art. 8, Art. 9 und Art. 14 Abs. 2 VGKE). Der Rechtsvertreter hat keine Kostennote eingereicht. Auf entsprechende Nachforderung kann verzichtet werden, da der notwendige Vertretungsaufwand aufgrund der Akten zuverlässig abgeschätzt werden kann. Unter Berücksichtigung der massgebenden Berechnungsfaktoren (Art. 8, Art. 9 und Art. 11 VGKE) ist die Parteientschädigung auf Fr. 600.- (inkl. Auslagen und Mehrwertsteuer) festzusetzen und die Vorinstanz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