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D-4532/2011 vom 23. Juli 2012</w:t>
      </w:r>
    </w:p>
    <w:p>
      <w:r>
        <w:t>Bundesverwaltungsgericht, 2012-07-23, DE</w:t>
      </w:r>
    </w:p>
    <w:p>
      <w:r>
        <w:rPr>
          <w:b/>
        </w:rPr>
        <w:t xml:space="preserve">Quelle: </w:t>
      </w:r>
      <w:r>
        <w:t>https://mcp.opencaselaw.ch/entscheid/bvger_D-4532_2011</w:t>
      </w:r>
    </w:p>
    <w:p>
      <w:r>
        <w:t>FR: TAF D-4532/2011 du 23 juillet 2012</w:t>
      </w:r>
    </w:p>
    <w:p>
      <w:r>
        <w:t>IT: TAF D-4532/2011 del 23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hinsichtlich der vom Beschwerdeführer geschilderten behördlichen Suche nach seiner Person am frühen Morgen des (...) sei davon auszugehen, dass die sri-lankischen Behörden, wenn sie tatsächlich nach ihm gesucht hätten, auf eine organisierte und effiziente Weise vorgegangen wären, um seiner habhaft zu werden. So hätten sie ihn beispielsweise gleich auf seinen Feldern gesucht oder den im Haus anwesenden Familienmitgliedern Kontakte mit der Aussenwelt verunmöglicht, um zu vermeiden, dass jemand den Beschwerdeführer warnen könnte. Der angeführte Erklärungsversuch, dass jener Onkel beim Verlassen des Hauses so getan habe, wie wenn er einkaufen gehen würde, vermöge unter dem Blickwinkel der vorhergehenden Ausführungen nicht zu überzeugen. Es könne davon ausgegangen werden, dass eine tatsächlich verfolgte Person nach ihrer Flucht möglichst viel in Erfahrung zu bringen versuche, um sich ein Bild über ihre eigene Gefährdung sowie die allfälligen Probleme der übrigen Familienangehörigen machen zu können. Die diesbezügliche Erklärung, weitere Abklärungen hätten sich aufgrund seines Wissens um die Suche nach ihm nicht aufgedrängt, erscheine angesichts der vorhergehenden Ausführungen nicht plausibel. Auch der Erklärungsversuch, dass er den anderen keine Schwierigkeiten habe bereiten wollen und nicht genau gewusst habe, wen er fragen solle, vermöge nicht zu überzeugen. So sei doch davon auszugehen, dass eine Person in der erwähnten Lage Wege gefunden hätte, um die gewünschten Informationen zu erhalten, ohne die Angehörigen zu gefährden. Zudem habe der Beschwerdeführer zum Aufenthaltsort seines Onkels während jenes angeblichen Vorfalls am (...) widersprüchlich ausgesagt. Folglich gelinge es ihm nicht, seine Vorbringen im Zusammenhang mit dem geltend gemachten Vorfall im (...) hinreichend zu begründen und kohärent vorzubringen, weshalb sie nicht glaubhaft seien. Überdies habe er ungenaue Angaben zu seiner Ausreise und dem dabei verwendeten Pass gemacht; er habe diesbezüglich weder den vollständigen Namen des Passinhabers noch das Ausstellungsland des Passes anzugeben vermocht. Desgleichen sei es ihm nicht möglich gewesen, die Fluggesellschaft oder den Ankunftsort in E._______ anzugeben. Es könne aber davon ausgegangen werden, dass eine Person, die ihre Heimat auf illegale Weise verlasse, über solche Kenntnisse verfüge, da sie sich und die allfälligen Begleitpersonen ansonsten bei einer eventuellen Grenzkontrolle gefährden würde. Folglich sei anzunehmen, dass er auch unrichtige Angaben zu seiner Ausreise gemacht und sein Heimatland auf legale Weise verlassen habe. Soweit der Beschwerdeführer erklärt habe, dass er von (...) bis (...) aufgrund seiner Beteiligung an einer Demonstration festgehalten und dabei auch sexuell missbraucht worden sei, würden sich die geschilderten Haftbedingungen jedoch als knapp und stereotyp erweisen und nicht den Eindruck einer tatsächlich erlebten Haft vermitteln, selbst unter Berücksichtigung, dass er anfänglich von einer Befragerin angehört worden und jene Festnahme bereits (...) Jahren zurückgelegen sei. So könnten tatsächlich Verfolgte erfahrungsgemäss solche einschneidenden Ereignisse noch nach vielen Jahren genau schildern. Ausserdem habe sich der Beschwerdeführer zu den Vorfällen während der Inhaftierung in widersprüchliche Angaben verstrickt. Daraus würden sich gewisse Zweifel an der Glaubhaftigkeit dieses Vorbringens ergeben. Da das fragliche Ereignis (...) Jahre vor dem Zeitpunkt der Ausreise geschehen sei, fehle jedoch ohnehin der erforderliche enge zeitliche und sachliche Kausalzusammenhang zwischen Verfolgung und Flucht, weshalb dieses Ereignis als nicht asylrelevant erachtet werden könne.</w:t>
      </w:r>
    </w:p>
    <w:p>
      <w:r>
        <w:rPr>
          <w:b/>
        </w:rPr>
        <w:t>E. 3.2</w:t>
      </w:r>
    </w:p>
    <w:p>
      <w:r>
        <w:t>Demgegenüber rügte der Beschwerdeführer in seiner Rechtsmitteleingabe zunächst in formeller Hinsicht eine Verletzung des rechtlichen Gehörs durch die Vorinstanz. So habe das BFM in seinem Entscheid als einzige Quelle auf die Richtlinie des Amtes des Hohen Flüchtlingskommissars der Vereinten Nationen (UNHCR) zur Feststellung des internationalen Schutzbedarfs sri-lankischer Asylsuchender vom 5. Juli 2010, welche sich explizit auf den Flüchtlingsschutz und nicht auf einen subsidiären Schutzstatus beziehe, angegeben. Ansonsten stütze sich das BFM im angefochtenen Entscheid auf eigene "Feststellungen", deren Quellen nicht offengelegt würden. Mit diesem Vorgehen verletze das BFM die Begründungspflicht und damit das rechtliche Gehör. Sollte das Bundesverwaltungsgericht der Ansicht sein, das Versäumte könne im Rechtsmittelverfahren nachgeholt und die Gehörsverletzung damit geheilt werden, sei das BFM anzuweisen, die entsprechenden Quellen im Beschwerdeverfahren offenzulegen. Um seinen Anspruch auf rechtliches Gehör zu wahren, sei ihm danach eine angemessene Frist zur Stellungnahme einzuräumen. In materieller Hinsicht brachte der Beschwerdeführer im Wesentlichen vor, die aktuelle Sicherheits- und Menschenrechtslage im Osten und Norden Sri Lankas sei trotz der Beendigung des Bürgerkrieges im Mai 2009 noch ungenügend, um die Rückkehr als zumutbar zu qualifizieren. Die Militärpräsenz sei in diesen Gebieten (wieder) sehr hoch und es komme zu diskriminierenden Einschränkungen der tamilischen Bevölkerung. Diese stehe nach wie vor unter dem Generalverdacht der Kollaboration mit den LTTE und sei am stärksten von Sicherheitsmassnahmen betroffen. Darauf basierend müsse sein aktuelles Schutzbedürfnis als Tamile aus ei­ner Nordprovinz im Allgemeinen und als mutmasslicher LTTE-Sympa­thi­sant und Angehöriger eines Selbstmordattentäters der LTTE im Speziellen bejaht werden. Dabei sei zu berücksichtigen, dass seine Vorbringen - entgegen der in der angefochtenen Verfügung vertretenen Ansicht - durchaus glaubhaft erscheinen würden. So sei im Einzelnen den Vorhalten des BFM entgegenzuhalten, dass die Soldaten nicht gewusst hätten, wo er sich aufgehalten habe, weshalb er im Haus gesucht worden sei. Betreffend den Vorhalt, er habe keine weiteren Abklärungen zur Verfolgungsgefahr getroffen, sei er angesichts der Vorverfolgung im Jahre (...) sowie dem Schicksal des entführten Cousins (dieser sei zerstückelt aufgefunden worden) davon ausgegangen, dass die behördliche Suche für ihn schwerwiegende Folgen haben werde. Weiter sei der Vorwurf der stereotypen und knappen Schilderung seiner Haft angesichts der sexualisierten Gewalt, welche er erlitten habe, als zynisch zu bezeichnen und trage der Situation nicht Rechnung, dass er mehrere Jahre nach dem erwähnten Übergriff in der vorinstanzlichen Anhörung mutmasslich zum ersten Mal über diese Ereignisse gesprochen habe. Aus dem Protokoll gehe deutlich hervor, dass er sich noch heute schäme, über die erlittenen Erniedrigungen zu sprechen, und nur einsilbig zu diesen Ereignissen Auskunft geben könne. Auch wenn der zeitliche und sachliche Kausalzusammenhang fehlen möge, stellten die Übergriffe eine relevante Vorverfolgung dar. Vor deren Hintergrund werde klar, dass er sich aufgrund der behördlichen Suche im Jahre (...) gezwungen gesehen habe, sich zu verstecken und ins Ausland zu flüchten. Auch bei einer Rückkehr in seine Herkunftsregion wäre er weiterhin gefährdet, von den Behörden gesucht, entführt und ermordet zu werden. 4.1. 4.1.1. Vorweg ist die Rüge der Verletzung des rechtlichen Gehörs als Folge einer Verletzung der Begründungspflicht zu prüfen, gemäss welcher die Vorinstanz die im Entscheid verwendeten Länderinformationen beziehungsweise Quellen über das Herkunftsland nicht offengelegt habe. 4.1.2.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Entscheidungen und Mitteilungen der Schweizerischen Asylrekurskom­mission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 setzen, sondern darf sich auf die wesentlichen Gesichtspunkte beschränken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(BGE 112 Ia 110). 4.1.3. Vorliegend ist zu bemerken, dass sich die Vorinstanz bei der Begründung ihrer Entscheide, so insbesondere auch bei der Beurteilung der Zumutbarkeit des Wegweisungsvollzugs in das Herkunftsland eines Asylbewerbers, einerseits auf allgemeine und öffentlich zugängliche Quellen und andererseits auf eigene Abklärungen, wie beispielsweise diejenigen der schweizerischen Vertretung im betreffenden Staat, abstützt. Bezüglich der öffentlichen Quellen besteht seitens der Vorinstanz keine Offenbarungspflicht und hinsichtlich der eigenen Quellen nur insofern, als sie den wesentlichen Inhalt der Information offenzulegen braucht, nicht jedoch die genauere Herkunft, sofern wesentliche öffentliche oder private Interessen eine Geheimhaltung erfordern. Aus der Begründung des angefochtenen Entscheides zur Zumutbarkeit des Wegweisungsvollzugs wird ersichtlich, dass sich das BFM vorliegend auf öffentlich zugängliche Quellen abstützte. Es ergeben sich keine Hinweise auf eigene Abklärungen der Vorinstanz. Deshalb war das BFM nicht gehalten, dem Beschwerdeführer die verwendeten Quellen offenzulegen. Ihm wurde es dadurch denn auch nicht verunmöglicht, sich über die Tragweite der Verfügung ein Bild machen zu können (vgl. BGE 112 Ia 107) und die vorinstanzliche Verfügung sachgerecht anzufechten, wie sich aus der eingehenden Beschwerdebegründung zur aktuellen Sicherheits- und Menschenrechtslage in Sri Lanka - unter Auflistung zahlreicher öffentlicher Quellen - ergibt. Die Vorinstanz kam nach Würdigung der Parteivorbringen respektive der aktuellen Situation in Sri Lanka zu einem anderen Schluss als der Beschwerdeführer gekommen, was noch keine Verletzung des rechtlichen Gehörs darstellt. Die Rüge der Verletzung der Begründungspflicht als Teilgehalt des rechtlichen Gehörs erweist sich demnach als unbegründet. 4.2. In materieller Hinsicht führt eine Gesamtbeurteilung aller Elemente der Glaubhaftmachung bezüglich der fluchtauslösenden Asylgründe zur Überzeugung, dass die Schilderungen des Beschwerdeführers hinsichtlich des angeführten Vorfalls im (...) und der daraus resultierenden Repression der sri-lankischen Behörden als überwiegend unglaubhaft zu erachten sind, weshalb sie den gemäss Art. 7 AsylG reduzierten Beweisanforderungen nicht genügen. Dem Beschwerdeführer gelingt es weder im vorinstanzlichen Verfahren noch in seiner auf Beschwerdeebene eingereichten Eingabe, seine diesbezüglichen Schilderungen in sich stimmig, widerspruchsfrei und realitätsnah darzulegen, aufgrund derer auf einen tatsächlich erlebten Sachverhalt geschlossen werden könnte. Die von ihm auf Beschwerdeebene gemachten Ausführungen und Entgegnungen vermögen die von der Vorinstanz im angefochtenen Entscheid aufgezeigten Unstimmigkeiten im Sachverhaltsvortrag nicht plausibel aufzulösen und die dementsprechenden Schlussfolgerungen des BFM umzustossen. So ist festzustellen, dass der Einwand des Beschwerdeführers, er sei von den Soldaten im Haus gesucht worden, weil diese nicht gewusst hätten, wo er sich aufgehalten habe, nicht zu überzeugen vermag, zumal die Vorinstanz auch betreffend die vorgebrachte Suche im Haus die geschilderte Vorgehensweise der sri-lankischen Behörden zu Recht als realitätsfremd einstufte. Auch der weitere Einwand, wonach er angesichts der Vorverfolgung im Jahre (...) sowie des Schicksals seines entführten Cousins keine weiteren Abklärungen zur Verfolgungsgefahr getroffen habe, da er davon ausgegangen sei, dass die behördliche Suche für ihn schwerwiegende Folgen haben werde, ist als nicht stichhaltig zu qualifizieren. Insbesondere erkannte die Vorinstanz in zutreffender Weise, dass Personen in vergleichbaren Situationen möglichst viele Informationen über Umfang und Art ihrer Gefährdung erhältlich zu machen versuchen, zumal die erhaltenen Auskünfte in aller Regel das weitere Verhalten der gesuchten Person massgeblich beeinflussen. Weiter ist es hinsichtlich der Beurteilung der Glaubhaftigkeit zu den Reiseumständen in der Tat als überwiegend unwahrscheinlich zu erachten, dass der Beschwerdeführer den im Pass aufgeführten Namen nicht vollständig gekannt haben soll, zumal er dadurch bei der Ausreise ein erhebliches Risiko der Entdeckung eingegangen wäre, hätte er doch keine Auskunft geben können, falls ihn einer der kontrollierenden Beamten bei der Ausreise nur schon nach seinem vollständigen Namen gefragt hätte (vgl. act. A1/11, S. 7).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ist davon auszugehen, dass er den erhaltenen Pass - wenn auch nur kurz - studiert haben muss, ansonsten es ihm nicht möglich gewesen wäre anzugeben, dass im Pass ein anderer als sein eigener Name eingetragen gewesen sei. Sodann lagen - unbesehen einer Glaubhaftigkeit dieser Sachverhaltsvorbringen und der auf Beschwerdeebene diesbezüglich vorgebrachten Einwände - die angeführte Festnahme vom (...) und die anschliessende Haft bis im (...) im Zeitpunkt der Ausreise des Beschwerdeführers bereits knapp (...) Jahre zurück. Deshalb können diese Begebenheiten nicht mehr als Massnahmen angesehen werden, die ihn unmittelbar zur Ausreise veranlasst hätten, weshalb sie asylrechtlich vorliegend nicht beachtlich erscheinen. Angesichts obiger Erwägungen stellen diese Übergriffe - entgegen der in der Beschwerdeschrift geäusserten Ansicht - denn auch keine relevante Vorverfolgung dar. 4.3. Zusammenfassend ist festzuhalten, dass der Beschwerdeführer keine Verfolgung gemäss Art. 3 AsylG nachweisen oder glaubhaft machen konnte. Das BFM hat sein Asylgesuch demzufolge zu Recht abgelehnt, weshalb es sich erübrigt, auf die weiteren Ausführungen in der Beschwer­deschrift näher einzugehen, da sie an obiger Erkenntnis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6.2.2.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6.2.3.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für Tamilen befasst, die aus einem europäischen Land nach Sri Lanka zurückkehren müssen (vgl. BVGE 2011/24 E. 10.4.2 S. 503 f.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6.2.4.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4.2). Da er nicht glaubhaft machte,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Nach dem Gesagten ist der Vollzug der Wegweisung sowohl im Sinne der asyl- als auch der völkerrechtlichen Bestimmungen zulässig. 6.3.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6.3.2. In der angefochtenen Verfügung vom 20. Juli 2011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es sei zu keinen terroristischen Aktivitäten der LTTE mehr gekommen. Das BFM verfolge die Entwicklung der Lage in Sri Lanka laufend und sorgfältig und sei dabei zum Schluss gekommen, dass sich die allgemeine Sicherheitslage in Sri Lanka seit Mai 2009 deutlich entspannt habe und sich die Lebensbedingungen soweit verbessert hätten, dass eine Rückkehr auch in den Norden und Osten Sri Lankas grundsätzlich wieder zumutbar sei. Im Norden des Landes seien zwar die Lebensbedingungen gebietsweise sehr unterschiedlich. In den Gebieten, die bereits seit längerer Zeit unter Kontrolle der Regierung stünden, so beispielsweise auf der Halbinsel von Jaffna oder in den südlichen Teilen der Distrikte Vavuniya und Mannar, herrsche weitgehend ein normales Alltagsleben. Im ehemals von den LTTE kontrollierten Vanni-Gebiet hingegen seien die Lebensbedingungen nach wie vor als sehr schwierig einzustufen. Folglich könne die Zumutbarkeit der Wegweisung des Beschwerdeführers, der gemäss seinen Aussagen vor der Ausreise in B._______, einem Dorf im Distrikt F._______ auf der Halbinsel von C._______ gelebt habe, vom Gesichtspunkt der allgemeinen Sicherheitslage her bejaht werden. Weiter sei nicht davon auszugehen, dass er bei einer Rückkehr in eine existenzielle Notlage gerate respektive ihm der Aufbau einer wirtschaftlichen Lebensgrundlage möglich sein sollte. Folglich sei eine Rückkehr in den Heimatstaat für den Beschwerdeführer als zumutbar zu erachten. 6.3.3. Im Urteil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6.3.4. Den Akten zufolge war der aus B._______, Distrikt F._______ (Halbinsel von C._______) stammende Beschwerdeführer bis zu seiner angeführten Flucht nach D._______ (Nordprovinz), wo er sich bis zur Ausreise während (...) Monaten aufhielt, bis im (...) stets in seinem Herkunftsort B._______ in der Nordprovinz seiner Heimat wohnhaft. Auch wohnen seinen Angaben zufolge sämtliche nächsten Familienangehörigen (Eltern, Geschwister) noch immer in B._______, weshalb er dort ein tragfähiges Beziehungsnetz hat. Er verfügt zudem über eine langjährige Berufserfahrung als Bauer auf dem eigenen Land (vgl. act. A1/11, S. 1 ff.). Es ist demnach davon auszugehen, dass ihm der Aufbau einer wirtschaftlichen Existenz - allenfalls auch mit Hilfe seiner Familie - möglich sein wird. Auch wenn er seit (...) und somit über drei Jahre lang landesabwesend war, bestehen somit keine konkreten Anhaltspunkte dafür, dass er bei einer Rückkehr nach Sri Lanka in eine existenzielle Notlage geraten würde. Der Vollzug der Wegweisung erweist sich demnach nicht als unzumutbar im Sinne von Art. 83 Abs. 4 AuG. 6.4.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6.5. 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Es ist aufgrund der Aktenlage von der Bedürftigkeit des Beschwerdeführers auszugehen. Auch können die Begehren der Beschwerde nicht als aussichtslos bezeichnet werden. Das Gesuch um Gewährung der unentgeltlichen Prozessführung im Sinne von Art. 65 Abs. 1 VwVG ist somit gutzuheissen, weshalb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