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D-4530/2015 vom 7. August 2015</w:t>
      </w:r>
    </w:p>
    <w:p>
      <w:r>
        <w:t>Bundesverwaltungsgericht, 2015-08-07, DE</w:t>
      </w:r>
    </w:p>
    <w:p>
      <w:r>
        <w:rPr>
          <w:b/>
        </w:rPr>
        <w:t xml:space="preserve">Quelle: </w:t>
      </w:r>
      <w:r>
        <w:t>https://mcp.opencaselaw.ch/entscheid/bvger_D-4530_2015</w:t>
      </w:r>
    </w:p>
    <w:p>
      <w:r>
        <w:t>FR: TAF D-4530/2015 du 7 août 2015</w:t>
      </w:r>
    </w:p>
    <w:p>
      <w:r>
        <w:t>IT: TAF D-4530/2015 del 7 agosto 2015</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so auch vorliegend endgültig (Art. 105 AsylG; Art. 83 Bst. d Ziff. 1 BGG).</w:t>
      </w:r>
    </w:p>
    <w:p>
      <w:r>
        <w:rPr>
          <w:b/>
        </w:rPr>
        <w:t>E. 1.2</w:t>
      </w:r>
    </w:p>
    <w:p>
      <w:r>
        <w:t>Die Beschwerde ist nicht in einer Amtssprache des Bundes ab­ge­fasst. Auf die Ansetzung einer Frist zur entsprechenden Beschwerdeverbesserung im Sinne von Art. 52 VwVG kann jedoch aus prozessökonomischen Gründen verzichtet werden, da die englisch­sprachige Beschwerdeeingabe verständlich ist, so dass praxisgemäss ohne weiteres darüber be­funden werden kann. Der vorliegende Entscheid ergeht in­dessen in deut­scher Sprache (Art. 33a Abs. 2 VwVG i.V.m. Art. 6 AsylG).</w:t>
      </w:r>
    </w:p>
    <w:p>
      <w:r>
        <w:rPr>
          <w:b/>
        </w:rPr>
        <w:t>E. 1.3</w:t>
      </w:r>
    </w:p>
    <w:p>
      <w:r>
        <w:t>Die Beschwerde ist frist- und grundsätzlich - abgesehen vom sprach­lichen Mangel -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w:t>
      </w:r>
    </w:p>
    <w:p>
      <w:r>
        <w:t>Mit der dringlichen Änderung des Asylgesetzes vom 28. September 2012 (AS 2012 5359), welche am 29. September 2012 in Kraft trat, wurden unter anderem die Bestimmungen betreffend die Stellung von Asylgesuchen aus dem Ausland aufgehoben. Die Übergangsregelungen halten jedoch fest, dass für die im Ausland vor dem Inkrafttreten der Änderung vom 28. September 2012 gestellten Gesuche die massgeblichen Artikel (Art. 12, 19, 20, 41 Abs. 2, 52 und 68 AsylG) in der bisherigen Fassung anwendbar sind. Demnach sind auf den vorliegenden Fall die bisherigen Bestimmungen betreffend das Auslandverfahren anzuwenden. Der Beschwerdeführer wurde am 26. September 2012 durch eine Mitarbeiterin der Schweizer Botschaft in Colombo zu seinen Asylgründen be­fragt. Den verfahrensrechtlichen Anforderungen wurde damit entsprochen (aArt. 10 der Asylverordnung 1 vom 11. August 1999 [AsylV 1, SR 142.311]).</w:t>
      </w:r>
    </w:p>
    <w:p>
      <w:r>
        <w:rPr>
          <w:b/>
        </w:rPr>
        <w:t>E. 5.1</w:t>
      </w:r>
    </w:p>
    <w:p>
      <w:r>
        <w:t>Das Bundesamt kann ein im Ausland gestelltes Asylgesuch ablehnen, wenn die asylsuchende Person keine Verfolgung glaubhaft machen kann oder ihr die Aufnahme in einem Drittstaat zugemutet werden kann (Art. 3 und Art. 7 AsylG sowie aArt. 52 Abs. 2 AsylG). Gemäss aArt. 20 Abs. 2 AsylG bewilligt das Bundesamt einer asylsuchenden Person die Einreise zur Abklärung des Sachverhaltes, wenn ihr nicht zugemutet werden kann, im Wohnsitz- oder Aufenthaltsstaat zu bleiben oder in ein anderes Land auszureisen. Gestützt auf aArt. 20 Abs. 3 AsylG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5.2</w:t>
      </w:r>
    </w:p>
    <w:p>
      <w:r>
        <w:t>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w:t>
      </w:r>
    </w:p>
    <w:p>
      <w:r>
        <w:rPr>
          <w:b/>
        </w:rPr>
        <w:t>E. 6.1</w:t>
      </w:r>
    </w:p>
    <w:p>
      <w:r>
        <w:t>Mit der Vorinstanz ist festzuhalten, dass die Vorbringen des Be­schwerdeführers weder einreise- noch asylrelevant sind. Die von ihm geschilderte Verfolgungssituation durch das CID und die "Home Guards" respektive sri-lankischen Behörden vermag nicht zu überzeugen. Den im Zusammenhang mit seinem Sachvortrag eingereichten Be­weis­mitteln ist keine wei­te­re Bedeutung beizumessen, da den Vorbringen des Beschwerdeführers die asylrechtliche Relevanz abzusprechen ist. Zur Vermeidung von Wiederholungen kann daher vollumfänglich auf die nicht zu beanstandenden Ausführungen der Vorinstanz in der angefochtenen Verfügung verwiesen werden. Ihnen ist nichts mehr hinzuzufügen.</w:t>
      </w:r>
    </w:p>
    <w:p>
      <w:r>
        <w:rPr>
          <w:b/>
        </w:rPr>
        <w:t>E. 6.2</w:t>
      </w:r>
    </w:p>
    <w:p>
      <w:r>
        <w:t>Die Vorbringen in der Rechtsmitteleingabe sind nicht geeignet, eine Änderung der angefochtenen Verfügung zu bewirken. Der Sachverhalt bleibt grundsätzlich unverändert und eine Auseinandersetzung mit der vorinstanzlichen Argumentation unterbleibt. Unter dem Titel "The Present Situations" führt der Beschwerdeführer lediglich aus, dass er sich aufgrund von ständigen Belästigungen durch "Home Guards" an seinem Wohnort psychisch und physisch schlecht fühle. Ferner listet er insgesamt drei Behelligungen (Befragungen/Nachforschungen) zwischen Mitte Februar und Ende Mai 2015 durch das CID bei sich zu Hause auf, wovon die letzten beiden Male rund zweieinhalb Stunden gedauert hätten. Schliesslich wird ein Vorkommnis von Anfang Juni 2015 erwähnt, als ihm einige auf der Strasse begegnende "Home Guards" gesagt hätten, er und sein Sohn sollten in Haft genommen werden, andernfalls sie erschossen würden. Zurzeit sei er gefährdet. Mit diesen Ausführungen wird aber noch keine wesentliche Änderung gegenüber der vom SEM in der angefochtenen Verfügung bereits beurteilten Gefährdungssituation dargetan. Nebst fehlenden näheren Hinweisen hierzu bleibt in diesem Zusammenhang insbesondere nochmals festzuhalten, dass der Beschwerdeführer für den Zeitraum seit der Befragung bei der Schweizer Botschaft (26. September 2012) bis Februar 2015 keine massgebenden oder entscheidenden Ereignisse auch nur ansatzweise erwähnte, welche für eine Bedrohungs- oder Verfolgungssituation asylrelevanten Ausmasses sprechen könnten. Angesichts dieser Sachlage erübrigen sich weitere Erörterungen.</w:t>
      </w:r>
    </w:p>
    <w:p>
      <w:r>
        <w:rPr>
          <w:b/>
        </w:rPr>
        <w:t>E. 6.3</w:t>
      </w:r>
    </w:p>
    <w:p>
      <w:r>
        <w:t>Zusammenfassend ist festzustellen, dass der Beschwerdeführer kei­ne Ver­folgung im Sinne von Art. 3 AsylG darzutun vermochte. Das SEM hat dem­nach zu Recht die Einreise in die Schweiz nicht bewilligt und das Asylgesuch abgelehnt.</w:t>
      </w:r>
    </w:p>
    <w:p>
      <w:r>
        <w:rPr>
          <w:b/>
        </w:rPr>
        <w:t>E. 7</w:t>
      </w:r>
    </w:p>
    <w:p>
      <w:r>
        <w:t>Aus diesen Erwägungen ergibt sich, dass die angefochtene Verfügung Bundesrecht nicht verletzt und den rechtserheblichen Sachverhalt richtig und vollständig feststellt (Art. 106 Abs. 1 AsylG). Die Beschwerde ist nach dem Gesagten abzuweisen. 8.Bei diesem Ausgang des Verfahrens wären die Kosten grundsätzlich dem Beschwerdeführer aufzuerlegen (Art. 63 Abs. 1 VwVG). Aus verwal­tungsökonomischen Gründen sowie in Anwendung von Art. 63 Abs. 1 in fine VwVG und Art. 2 und 6 Bst. b des Reglements vom 21. Februar 2008 über die Kosten und Entschädigungen vor dem Bundes­verwaltungs­ge­richt (VGKE, SR 173.320.2) ist vorliegend jedoch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