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D-4530/2007 vom 15. Februar 2010</w:t>
      </w:r>
    </w:p>
    <w:p>
      <w:r>
        <w:t>Bundesverwaltungsgericht, 2010-02-15, DE</w:t>
      </w:r>
    </w:p>
    <w:p>
      <w:r>
        <w:rPr>
          <w:b/>
        </w:rPr>
        <w:t xml:space="preserve">Quelle: </w:t>
      </w:r>
      <w:r>
        <w:t>https://mcp.opencaselaw.ch/entscheid/bvger_D-4530_2007</w:t>
      </w:r>
    </w:p>
    <w:p>
      <w:r>
        <w:t>FR: TAF D-4530/2007 du 15 février 2010</w:t>
      </w:r>
    </w:p>
    <w:p>
      <w:r>
        <w:t>IT: TAF D-4530/2007 del 15 febbraio 2010</w:t>
      </w:r>
    </w:p>
    <w:p>
      <w:pPr>
        <w:pStyle w:val="Heading2"/>
      </w:pPr>
      <w:r>
        <w:t>Regeste</w:t>
      </w:r>
    </w:p>
    <w:p>
      <w:r>
        <w:t>Asyl und Wegweisung","Asylgesuch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AsylG i.V.m. Art. 37 VGG und Art. 48 Abs. 1, Art. 50 und 52 VwVG). Auf die Beschwerde ist einzutreten. Nichteinzutreten auf die Beschwerde ist hingegen, soweit die Anord-nung der vorläufigen Aufnahme beantragt wird (vgl. Bst. C), zumal die-se Frage nicht Gegenstand des vorliegenden Verfahrens ist.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Bundesamt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3.2</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welcher angesichts bloss redaktioneller Änderungen bei der letzten Totalrevision des Asylgesetzes nach wie vor Gültigkeit hat).</w:t>
      </w:r>
    </w:p>
    <w:p>
      <w:r>
        <w:rPr>
          <w:b/>
        </w:rPr>
        <w:t>E. 4.1</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wobei diese Nachteile ihr gezielt und auf-grund bestimmter Verfolgungsmotive durch Organe des Heimatstaates oder durch nichtstaatliche Akteure zugefügt worden sind beziehungs-weise zugefügt zu werden drohen (vgl. EMARK 2006 Nr. 18 E. 7 und 8 S. 190 ff., EMARK 2005 Nr. 21 E. 7 S. 193). Aufgrund der Subsidiarität des flüchtlingsrechtlichen Schutzes setzt die Zuerkennung der Flücht-lingseigenschaft im Weiteren voraus, dass die betroffene Person in ih-rem Heimatland keinen ausreichenden Schutz finden kann (vgl. EMARK 2005 Nr. 21 E. 7 S. 193).</w:t>
      </w:r>
    </w:p>
    <w:p>
      <w:r>
        <w:rPr>
          <w:b/>
        </w:rPr>
        <w:t>E. 4.3.1</w:t>
      </w:r>
    </w:p>
    <w:p>
      <w:r>
        <w:t>Der Rechtsvertreter der Beschwerdeführenden bezeichnet die Sachverhaltszusammenfassung der Vorinstanz als knapp, im Wesentlichen aber als korrekt wiedergegeben. Indes greife die Argumentation des BFM zu kurz, da nicht sämtliche zentralen Vorbringen der Beschwerdeführerin gehörig gewürdigt worden seien, weshalb sich eine Neubeurteilung durch die Vorinstanz aufdränge.</w:t>
      </w:r>
    </w:p>
    <w:p>
      <w:r>
        <w:rPr>
          <w:b/>
        </w:rPr>
        <w:t>E. 4.3.2</w:t>
      </w:r>
    </w:p>
    <w:p>
      <w:r>
        <w:t>Das vorliegende Urteil ergeht zum gleichen Zeitpunkt wie dasjenige in Sachen des Ex-Ehemannes/Vaters der Beschwerdeführen-den (D-3463/2006). In beiden Beschwerdeverfahren ist zudem dersel-be Rechtsvertreter für die Vertretung bevollmächtigt. Alsdann gilt fest-zuhalten, dass die Konversion des Ex-Ehemannes/Vaters der Beschwerdeführenden zum Christentum im ihn betreffenden Urteil D463/2006 vom 15. Februar 2010 nicht in Abrede gestellt wurde. Indes wurde in E. 4 des entsprechenden Urteils ausführlich dargelegt, weshalb er im Zeitpunkt der Ausreise weder asylrelevanter Verfolgung aus-gesetzt gewesen war noch begründete Furcht hatte, einer solchen ausgesetzt zu sein. Insbesondere wurde in E. 4.5 und 4.6 aufgezeigt, weshalb es sich bei der von ihm geltend gemachten Bedrohungs- respektive Verfolgungssituation um ein Konstrukt handelt. Vor diesem Hintergrund kann deshalb die von den Beschwerdeführenden daraus abgeleitete Gefährdungslage nicht geglaubt werden. Wie nachstehend noch aufzuzeigen sein wird (E. 4.3.4), kann eine asylrelevante Bedro-hungssituation der Beschwerdeführenden zusätzlich aufgrund weite-rer, namhafter Unglaubhaftigkeitselemente ausgeschlossen werden.</w:t>
      </w:r>
    </w:p>
    <w:p>
      <w:r>
        <w:rPr>
          <w:b/>
        </w:rPr>
        <w:t>E. 4.3.3</w:t>
      </w:r>
    </w:p>
    <w:p>
      <w:r>
        <w:t>Was der in der Rechtsmitteleingabe in diesem Zusammenhang erhobene Vorwurf der ungenügenden Begründungspflicht respektive der Verletzung des rechtlichen Gehörs durch die Nichtwürdigung eines erheblichen und rechtzeitigen Vorbringens der Beschwerdeführerin (Tod des Sohnes B. hätte einer Würdigung in Bezug auf die Frage der Glaubwürdigkeit der Beschwerdeführerin und eines allfälligen Zusammenhangs mit den [Nach-] Fluchtgründen des Ex-Mannes zur Fol-ge haben müssen) anbelangt, so kann dieser nicht gehört werden. Das BFM erachtete die ins Recht gelegten Kopien der beiden Dokumente (Todesschein und Melli-Karte) als ungeeignet, die behaupteten Todes-umstände des Sohnes B. zu belegen. So enthalte der Todesschein bloss das Todesdatum und gebe keinerlei Auskunft über die Todesur- sache. Der Melli-Karte (Identitätskarte) spricht sie sodann per se die Beweistauglichkeit in diesem Zusammenhang ab. Des Weiteren wurde der Tod des Sohnes B. in der Vernehmlassung vom 4. Juli 2006 im Ver-fahren des Ex-Ehemannes/Vaters der Beschwerdeführenden themati-siert und die in diesem Zusammenhang eingereichten Beweisunterla-gen eingehend gewürdigt (vgl. Urteil D-3463/2006 vom 15. Februar 2010 Bst. K). Insbesondere ist darauf hinzuweisen, dass sich der Tod des Sohnes B. etwas mehr als zehn Monate vor der Ausreise der Beschwerdeführenden ereignete und die Beschwerdeführerin gemäss Akten über Kontakte zu ihrem Ex-Ehemann hatte. Ihr stand mithin genügend Zeit zur Verfügung, sich in diesem Zusammenhang entspre-chend beweistaugliche, den geltend gemachten Sachverhalt unter-mauernde Unterlagen zu beschaffen. Nebst der durchaus zu bejahen-den Möglichkeit der Beschaffbarkeit von diesbezüglichen Beweismit-teln (vgl. Urteil D-3463/2006 vom 15. Februar 2010 E. 4.6) wurde nicht zuletzt dem Rechtsvertreter der Beschwerdeführenden in der oben er-wähnten Vernehmlassung betreffend des Ex-Ehemannes/Vaters aufge-zeigt, was für Anforderungen an die Beweistauglichkeit diesbezüg-licher Dokumente gestellt werden. Entgegen der Ansicht des Rechts-vertreters der Beschwerdeführenden sieht das Bundesverwaltungsge-richt keine Veranlassung, die von der Vorinstanz in der angefochtenen Verfügung abgegebene Begründung zu beanstanden. Ebenso erblickt es in der Vorgehensweise des BFM keine Verletzung von Art. 32 Abs. 1 VwVG.</w:t>
      </w:r>
    </w:p>
    <w:p>
      <w:r>
        <w:rPr>
          <w:b/>
        </w:rPr>
        <w:t>E. 4.3.4</w:t>
      </w:r>
    </w:p>
    <w:p>
      <w:r>
        <w:t>Wie in E. 4.3.2 bereits erwähnt erweist sich die von den Be-schwerdeführenden vom Ex-Ehemann/Vater abgeleitete Anschlussver-folgung, welche sich unter anderem in angeblich ständigen Belästigun-gen und Telefondrohungen seit dessen Ausreise im Februar 2002 bis zum Tod des Sohnes B. am 5. März 2006 manifestiert hätten, als un-glaubhaft. Zwar ist dem Rechtsvertreter der Beschwerdeführenden in seiner Argumentation zuzustimmen, dass das Scheidungsurteil weder eine auf Druck der Behörden erfolgte Scheidung (gemäss BFM) noch das Gegenteil, nämlich eine freiwillige Trennung, zu beweisen vermö-ge. Ungeachtet der Verwendung dieses mutmassenden Begründungs-elements durch die Vorinstanz ist hingegen im vorliegenden Fall auf-grund bedeutungsvollerer Unglaubhaftigkeitselemente eine asylrele-vante Gefährdungssituation der Beschwerdeführenden zu verneinen. So erscheint es äusserst fraglich, dass die iranischen Behörden derart intensiv den Beschwerdeführenden nachgestellt haben sollen, weil sie zum einen den mindestens seit Februar 2004 (Rechtskraft des Schei-dungsurteils) bekannten Aufenthaltsort des Ex-Ehemannes/Vaters in Erfahrung bringen wollten und zum anderen der puren Vergeltung we-gen, weil man dessen nicht habhaft werden konnte. Hinzukommt, dass die Beschwerdeführerin, obschon im Besitze eines im damaligen Zeitpunkt gültigen Reisepasses (26. Mai 2003 bis 26. Mai 2008), in welchem ihre Kinder eingetragen sind, in der massgeblichen Zeitspanne keine Ausreiseabsichten hegte. Zumindest eben-so erstaunlich erweist sich der Umstand, dass die Beschwerdeführerin unmittelbar nach dem Tod des Sohnes B. offenbar keine Ausreisevor-bereitungen getätigt hat. Dem Protokoll der Botschaftsanhörung sind jedenfalls keine diesbezügliche Anhaltspunkte zu entnehmen. Ferner geht aus dem diesbezüglichen Befragungsprotokoll gar hervor, dass für den Ausreisezeitpunkt (Januar 2007) das Alter des Sohnes S. massgebend gewesen sein soll, da eine Ausreise wegen des Militär-dienstes vor dessen 16. Altersjahr erfolgen musste, ansonsten es ei-ner Erlaubnis der zuständigen heimatlichen Behörden für das Verlas-sen des Landes bedurft hätte. In das Erscheinungsbild von Unstimmigkeiten und Ungereimtheiten passen auch die Schilderungen zur problemlosen Ausreise über den Flughafen von Teheran. Es ist kaum nachvollziehbar, dass die Beschwerdeführerin anfangs November 2006 am Flughafen von Shiraz anlässlich der normalen Kontrolle von Leuten des Geheimdienstes angehalten, in deren Zentrale gebracht und über ihren Ex-Ehemann sowie ihr Vorhaben (u.a. Reiseziel) befragt worden sein will und die in diesem Zusammenhang erfassten Daten respektive gewonnenen Erkenntnisse rund zwei Monate später - anlässlich des zweiten Ausreiseversuchs - den zuständigen Behörden am Flughafen von Teheran nicht zugänglich gewesen wären. Eine (problemlose) Ausreise wäre unter diesen Umständen m.a.W. wohl kaum möglich gewesen. Nicht zuletzt sind auch aufgrund des Dokuments betreffend Übertra-gung des Sorgerechts der Kinder auf den Ex-Ehemann der Beschwer-deführerin Zweifel am vorgebrachten Sachverhalt anzubringen. Zum einen ist, um Wiederholungen zu vermeiden, zunächst auf die in die-sem Zusammenhang zutreffenden Anmerkungen des BFM in seiner Vernehmlassung vom 15. Oktober 2007 (vgl. Bst. F) zu verweisen. Als-dann ist ergänzend festzuhalten, dass, falls - wie in der Replik vom 9. November 2007 ausgeführt - die Möglichkeit der Ausstellung eines solchen Dokuments gemäss iranischem Recht über ein Notariat, wel-ches den Justizbehörden angegliedert ist, gegeben sein sollte, es doch äusserst fraglich erscheint, dass die beglaubigende Urkundsper-son vor dem Hintergrund der sich ihr darbietenden Situation beden-kenlos das Risiko eingegangen sein will, das gerichtlich der Beschwer-deführerin zugesprochene Sorgerecht über die Kinder auf ihren ausser Landes weilenden, zum Christentum konvertierten und erneut verhei-rateten Ex-Mann zu übertragen. Abschliessend ist in diesem Zusammenhang anzufügen, dass ohnehin nicht ersichtlich ist, weshalb die iranischen Behörden überhaupt ein In-teresse an einer Verfolgung der Beschwerdeführerin haben sollten: Sie ist seit dem Februar 2004 von ihrem zum Christentum konvertierten, im Westen erneut verheirateten Ex-Ehemann offiziell geschieden und hat das Sorgerecht über die gemeinsamen Kinder inne. Allenfalls an-ders würde sich die Sachlage präsentieren, wenn die Trennung zwi-schen der muslimischen Beschwerdeführerin und ihrem zum Christen-tum konvertierten (Ex-)Ehemann nicht dermassen klar zu Tage treten würde.</w:t>
      </w:r>
    </w:p>
    <w:p>
      <w:r>
        <w:rPr>
          <w:b/>
        </w:rPr>
        <w:t>E. 4.4</w:t>
      </w:r>
    </w:p>
    <w:p>
      <w:r>
        <w:t>Zusammenfassend ist festzustellen, dass es den Beschwerdefüh-renden nicht gelungen ist, eine Verfolgung im Sinne von Art. 3 AsylG nachzuweisen oder glaubhaft zu machen. Es erübrigt sich, auf weitere Vorbringen in der Beschwerde einzugehen, da sie am Ergebnis nichts ändern können. Insbesondere kann die Frage des kumulativ zu erfül- lenden Erfordernisses der nahen Beziehung der Beschwerdeführen-den zur Schweiz mangels Vorliegens einer asylrelevanten Gefähr-dungssituation offen gelassen werden. Das BFM hat demnach den Be-schwerdeführenden zu Recht die Einreise in die Schweiz verweigert beziehungsweise deren Asylgesuche abgelehnt. Der Antrag um Rück-weisung der Sache an die Vorinstanz zur Neubeurteilung ist abzu-weisen.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 soweit auf diese ein-zutreten ist.</w:t>
      </w:r>
    </w:p>
    <w:p>
      <w:r>
        <w:rPr>
          <w:b/>
        </w:rPr>
        <w:t>E. 6</w:t>
      </w:r>
    </w:p>
    <w:p>
      <w:r>
        <w:t>Bei diesem Ausgang des Verfahrens wären dessen Kosten grundsätzlich den Beschwerdeführenden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womit das Gesuch um Gewäh-rung der unentgeltlichen Rechtspflege (Art. 65 Abs. 1 VwVG) gegen-standslos geworden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