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D-452/2015 vom 29. September 2015</w:t>
      </w:r>
    </w:p>
    <w:p>
      <w:r>
        <w:t>Bundesverwaltungsgericht, 2015-09-29, DE</w:t>
      </w:r>
    </w:p>
    <w:p>
      <w:r>
        <w:rPr>
          <w:b/>
        </w:rPr>
        <w:t xml:space="preserve">Quelle: </w:t>
      </w:r>
      <w:r>
        <w:t>https://mcp.opencaselaw.ch/entscheid/bvger_D-452_2015</w:t>
      </w:r>
    </w:p>
    <w:p>
      <w:r>
        <w:t>FR: TAF D-452/2015 du 29 septembre 2015</w:t>
      </w:r>
    </w:p>
    <w:p>
      <w:r>
        <w:t>IT: TAF D-452/2015 del 29 settembre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fristgerecht eingereicht (Art. 108 Abs. 1 AsylG). Der Beschwerdeführer ist durch die angefochtene Verfügung besonders berührt und hat ein schutzwürdiges Interesse an deren Aufhebung beziehungsweise Änderung; sie sind daher zur Beschwerde legitimiert (Art. 105 AsylG i.V.m. Art. 48 Abs. 1 VwVG). Die Beschwerde ist nicht in einer Amtssprache des Bundes abgefasst. Auf die Ansetzung einer Frist zur Beschwerdeverbesserung kann indessen - wie nachfolgend aufgezeigt - verzichtet werden, da ohne Weiteres darüber befunden werden kann. Auf die Beschwerde ist somit einzutreten.</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 zur Kognition des Bundesverwaltungsgerichts im Auslandsverfahren siehe BVGE 2015/2).</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Der Beschwerdeführer rügt zunächst die Redaktion der vorinstanzlichen Verfügung in einer ihm fremden Sprache (deutsch) und bittet um eine Übersetzung ins Englische.</w:t>
      </w:r>
    </w:p>
    <w:p>
      <w:r>
        <w:rPr>
          <w:b/>
        </w:rPr>
        <w:t>E. 3.2</w:t>
      </w:r>
    </w:p>
    <w:p>
      <w:r>
        <w:t>Art. 33a Abs. 1 VwVG bestimmt, dass das Verwaltungsverfahren in einer der vier Amtssprachen der Schweiz (Deutsch, Französisch, Italienisch, Rumantsch Grischun) geführt wird, in der Regel in der Sprache, in der die Parteien ihre Begehren gestellt haben. Dasselbe sieht Art. 54 Abs. 1 BGG (vgl. Art. 33a Abs. 2 VwVG) für das Beschwerdeverfahren vor, wobei jenes in der Regel in der Sprache des angefochtenen Entscheids geführt wird. Verwenden die Parteien eine andere Amtssprache, so kann das Verfahren in dieser Sprache geführt werden.</w:t>
      </w:r>
    </w:p>
    <w:p>
      <w:r>
        <w:rPr>
          <w:b/>
        </w:rPr>
        <w:t>E. 3.3</w:t>
      </w:r>
    </w:p>
    <w:p>
      <w:r>
        <w:t>Englisch ist keine Amtssprache. Die Entgegennahme von Beschwerden in englischer Sprache - soweit diese verständliche Anträge und Begründungen enthalten - kann sich aus prozessökonomischen Gründen rechtfertigen, eine Verpflichtung dazu besteht jedoch nicht. Hinsichtlich der Verfahrensführung - und damit auch der Redaktion der Entscheide durch das SEM und das Bundesverwaltungsgericht - bestehen mit Art. 33a VwVG und Art. 54 BGG aber klare Regelungen, die keinen Raum für Ausnahmen lassen. Der vorliegende Entscheid ist deshalb ebenfalls in deutscher Sprache zu verfassen.</w:t>
      </w:r>
    </w:p>
    <w:p>
      <w:r>
        <w:rPr>
          <w:b/>
        </w:rPr>
        <w:t>E. 3.4</w:t>
      </w:r>
    </w:p>
    <w:p>
      <w:r>
        <w:t>Das Gesuch um Übersetzung der Verfügung der Vorinstanz ist daher abzuweisen, da es dem Beschwerdeführer obliegt, den in einer Amtssprache abgefassten Entscheid des SEM gegebenenfalls in eine ihm verständliche Sprache übersetzen zu lassen. Gemäss Akten war es ihm offensichtlich möglich, für die Befragung nach Colombo zu reisen, weshalb nicht ersichtlich ist, weshalb er nur in seinem Heimatort D._______ nach einem Übersetzer suchen kann.</w:t>
      </w:r>
    </w:p>
    <w:p>
      <w:r>
        <w:rPr>
          <w:b/>
        </w:rPr>
        <w:t>E. 3.5</w:t>
      </w:r>
    </w:p>
    <w:p>
      <w:r>
        <w:t>Das Dispositiv inklusive die Rechtsmittelbelehrung wurde dem Beschwerdeführer durch die Botschaft in englischer Sprache eröffnet. Damit ist das Recht auf eine wirksame Beschwerde gemäss Art. 13 EMRK gewahrt.</w:t>
      </w:r>
    </w:p>
    <w:p>
      <w:r>
        <w:rPr>
          <w:b/>
        </w:rPr>
        <w:t>E. 4</w:t>
      </w:r>
    </w:p>
    <w:p>
      <w:r>
        <w:t>Für Asylgesuche, die im Ausland vor Inkrafttreten der Asylgesetzände­rung vom 28. September 2012 gestellt worden sind, gelten die Artikel 12, 19, 20, 41 Abs. 2, 52 und 68 in ihrer bisherigen Fassung (vgl. Übergangs­bestimmung zur Änderung vom 28. September 2012). Demnach sind auf den vorliegenden Fall die bisherigen Bestimmungen betreffend das Auslandverfahren anzuwenden.</w:t>
      </w:r>
    </w:p>
    <w:p>
      <w:r>
        <w:rPr>
          <w:b/>
        </w:rPr>
        <w:t>E. 5</w:t>
      </w:r>
    </w:p>
    <w:p>
      <w:r>
        <w:t>Ein Asylgesuch kann gemäss aArt. 19 Abs. 1 AsylG im Ausland bei einer schweizerischen Vertretung gestellt werden, die es mit einem Be­richt an das SEM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was vorliegend geschehen ist.</w:t>
      </w:r>
    </w:p>
    <w:p>
      <w:r>
        <w:rPr>
          <w:b/>
        </w:rPr>
        <w:t>E. 6.1</w:t>
      </w:r>
    </w:p>
    <w:p>
      <w:r>
        <w:t>Das SEM bewilligt Asylsuchenden die Einreise in die Schweiz zur Abklärung des Sachverhalts, wenn ihnen nicht zugemutet werden kann, im Wohnsitz- oder Aufenthaltsort zu bleiben oder in einen anderen Staat auszureisen (aArt. 20 Abs. 2 AsylG). Ein Verbleib ist namentlich dann unzumutbar, wenn die asylsuchende Person schutzbedürftig ist, d.h.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AsylG).</w:t>
      </w:r>
    </w:p>
    <w:p>
      <w:r>
        <w:rPr>
          <w:b/>
        </w:rPr>
        <w:t>E. 6.2</w:t>
      </w:r>
    </w:p>
    <w:p>
      <w:r>
        <w:t>Das SEM kann ein im Ausland gestelltes Asylgesuch ablehnen - und damit auch die Einreise in die Schweiz verweigern -, wenn keine Hinweise auf eine aktuelle Gefährdung im Sinne von Art. 3 AsylG vorliegen oder es der gesuchstellenden Person zuzumuten ist, sich in einem Drittstaat um Aufnahme zu bemühen (aArt. 52 Abs. 2 AsylG).</w:t>
      </w:r>
    </w:p>
    <w:p>
      <w:r>
        <w:rPr>
          <w:b/>
        </w:rPr>
        <w:t>E. 6.3</w:t>
      </w:r>
    </w:p>
    <w:p>
      <w:r>
        <w:t>Die Voraussetzungen zur Erteilung einer Einreisebewilligung sind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w:t>
      </w:r>
    </w:p>
    <w:p>
      <w:r>
        <w:rPr>
          <w:b/>
        </w:rPr>
        <w:t>E. 7</w:t>
      </w:r>
    </w:p>
    <w:p>
      <w:r>
        <w:t>Gemäss schweizerischer Asylpraxis ist für die Gewährung der Einreise die Gefährdung einer asylsuchenden Person im Zeitpunkt der Einreisebewilligung massgebend. Vergangene Verfolgung ist somit nur dann beachtlich, wenn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 Nach Prüfung der Akten können diesen keine Hinweise entnommen werden, wonach der Beschwerdeführer gegenwärtig einer konkreten Gefährdung ausgesetzt ist oder eine unmittelbar drohende Gefährdung akut zu befürchten hätte. Die Ausführungen des Beschwerdeführers in seinem Asylgesuch, den diversen Eingaben sowie der Befragung blieben denn auch unsubstantiiert und äusserst vage. Er war nicht imstande, nachvollziehbar aufzuzeigen, weshalb er seit über zwanzig Jahren von verschiedenen, ihm unbekannten Personen verfolgt sein soll. Im Übrigen wurde er nach seiner Festnahme von einem Gericht freigesprochen und für unschuldig befunden, weshalb er ohne weitere Auflagen freigelassen wurde. Es erfolgten keine weiteren Festnahmen, was deutlich macht, dass sich keine neuen Verdachtsmomente gegen ihn ergeben haben. Zwar ist nicht auszuschliessen, dass er auch nach der Freilassung unter Beobachtung der sri-lankischen Behörden gestanden hat und in diesem Zusammenhang wie vorgebracht wiederholt aufgesucht und befragt worden ist. Wie vom SEM zutreffend angeführt, kommt jedoch derartigen Massnahmen aufgrund mangelnder Intensität kein Verfolgungscharakter zu. Was die vorgebrachten Behelligungen durch Drittpersonen anbelangt, kann nicht von einer akuten Gefährdung beziehungsweise von einer asylrechtlich relevanten Verfolgung ausgegangen werden, auch wenn nicht in Abrede zu stellen ist, dass diese Kontaktnahmen unangenehm gewesen sein mussten. Es kann im Weiteren auf die zutreffende vorinstanzliche Verfügung verwiesen werden, welche nicht zu beanstanden ist. Zusammenfassend ergibt sich, dass vorliegend nicht ersichtlich ist, dass der Beschwerdeführer auf die Schutzgewährung durch die Schweiz angewiesen beziehungsweise ihm gerade die Schweiz den erforderlichen Schutz gewähren muss. Der weitere Verbleib in Sri Lanka ist ihm nach dem Gesagten zuzumuten. Im Übrigen ist auch eine Beziehungsnähe des Beschwerdeführers zur Schweiz zu verneinen (aArt. 52 Abs. 2 AsylG). Die Vorinstanz hat demnach dem Beschwerdeführer zu Recht die Einreise in die Schweiz verweigert und das Asylgesuch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dem Beschwerdeführer aufzuerlegen (Art. 63 Abs. 1 und 5 VwVG). Aus verwaltungsökonomischen Gründen und in Anwendung von Art. 63 Abs. 1 in fine VwVG und Art. 2 und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