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D-4528/2024 vom 14. Juni 2024</w:t>
      </w:r>
    </w:p>
    <w:p>
      <w:r>
        <w:t>Bundesverwaltungsgericht, 2024-06-14, DE</w:t>
      </w:r>
    </w:p>
    <w:p>
      <w:r>
        <w:rPr>
          <w:b/>
        </w:rPr>
        <w:t xml:space="preserve">Quelle: </w:t>
      </w:r>
      <w:r>
        <w:t>https://mcp.opencaselaw.ch/entscheid/bvger_D-4528_2024_d20240614</w:t>
      </w:r>
    </w:p>
    <w:p>
      <w:r>
        <w:t>FR: TAF D-4528/2024 du 14 juin 2024</w:t>
      </w:r>
    </w:p>
    <w:p>
      <w:r>
        <w:t>IT: TAF D-4528/2024 del 14 giugno 2024</w:t>
      </w:r>
    </w:p>
    <w:p>
      <w:pPr>
        <w:pStyle w:val="Heading2"/>
      </w:pPr>
      <w:r>
        <w:t>Regeste</w:t>
      </w:r>
    </w:p>
    <w:p>
      <w:r>
        <w:t>Asyl und Wegweisung (Mehrfachgesuch) | Asyl und Wegweisung (Mehrfachgesuch); Verfügung des SEM vom 14.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D-4528/2024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Gemäss Art. 111c Abs. 1 AsylG hat die Stellung von Asylgesuchen, die in- nert fünf Jahren nach Eintritt der Rechtskraft des Asyl- und Wegweisungs- entscheides eingereicht werden, schriftlich und begründet zu erfolgen. Vor- liegend hat der Beschwerdeführer am 16. Juni 2021 in der Schweiz erst- mals um Asyl ersucht. Das Asylgesuch wurde mit Verfügung vom 9. De- zember 2021 abgelehnt und das Bundesverwaltungsgericht hat die dage- gen erhobene Beschwerde mit Urteil E-120/2022 vom 8. November 2023 rechtskräftig abgewiesen. Das SEM hat somit das erneute Asylgesuch vom</w:t>
      </w:r>
    </w:p>
    <w:p>
      <w:r>
        <w:rPr>
          <w:b/>
        </w:rPr>
        <w:t>E. 5</w:t>
      </w:r>
    </w:p>
    <w:p>
      <w:r>
        <w:t>Dezember 2023 zu Recht als Mehrfachgesuch entgegengenommen.</w:t>
      </w:r>
    </w:p>
    <w:p>
      <w:r>
        <w:rPr>
          <w:b/>
        </w:rPr>
        <w:t>E. 5.1</w:t>
      </w:r>
    </w:p>
    <w:p>
      <w:r>
        <w:t>Das SEM hält in seiner angefochtenen Verfügung im Wesentlichen fest, die Vorbringen genügten den Anforderungen an die Flüchtlingseigenschaft nach Art. 3 AsylG nicht. Der Beschwerdeführer mache mit dem übersetzten Beweismittel geltend, es sei ein Strafverfahren eingeleitet und ein Durch- suchungsbefehl erlassen worden. Bei den ihm vorgeworfenen Delikten handle es sich um Art. 281.1 und Art. 323.2 des aserbaidschanischen Strafgesetzbuches. Art. 281.1 beziehe sich auf «gegen den Staat gerich- tete öffentliche Aufrufe» und Art. 323.2 auf «Verleumdung der Ehre des Präsidenten der Aserbaidschanischen Republik». Die Rechtsvertretung behaupte jedoch, der Haftbefehl sei aufgrund eines Doppelmordes sowie weiterer nicht weiter ausgeführter neuer Vorwürfe ausgestellt worden. Der Beschwerdeführer führe nicht aus, wie es zu den erwähnten Vorwürfen ge- kommen sei. Weder aus dem Beweismittel noch aus seinen Ausführungen gehe hervor, was er konkret getan habe, damit ein solcher Durchsuchungs- beziehungsweise Haftbefehl erlassen worden sei. Der Beschwerdeführer habe seine (…)jährige Strafe im Heimatland verbüsst. Es sei nicht ersicht- lich, weshalb die aserbaidschanischen Behörden nach über zwei Jahren nach seiner Ausreise immer noch auf der Suche nach ihm sein sollten. Dem Beschwerdeführer gelinge es nicht, seine widersprüchlichen Aussa- gen zu erklären. Insbesondere bleibe unklar, weshalb zuerst die Rede von</w:t>
      </w:r>
    </w:p>
    <w:p>
      <w:r>
        <w:t>D-4528/2024 Seite 6 einem Doppelmord sei, im eingereichten Beweismittel dieses Verbrechen jedoch mit keinem Wort erwähnt werde. Es erschliesse sich der Vorinstanz nicht, weshalb das Dokument keine Informationen zum konkreten Hinter- grund der Ermittlungen beziehungsweise zum Tatbestand der Straftat ent- halte. In der Regel würden aserbaidschanische Fahndungsentscheide den Grund für die Ausschreibung zur Fahndung (beispielsweise einen unbe- kannten Aufenthalt) enthalten. Es sei nicht ersichtlich, ob die aserbaidscha- nischen Behörden überhaupt über seinen momentanen Aufenthaltsort in- formiert seien. In aserbaidschanischen Fahndungsentscheiden werde im Dokument da- rauf hingewiesen, dass der Entscheid in Kopie an die Wohnadresse der Person zugestellt werde. Dieser Hinweis fehle in dem vom Beschwerde- führer eingereichten Beweismittel. Beim Stempel auf dem eingereichten Beweismittel handle es sich um einen Laser- beziehungsweise Tonerdruck. Die Unterschrift des Ermittlers, die Fallnummer sowie das Datum seien nach Aufdruck mit Kugelschreiber angebracht worden. Demnach handle es sich bei seinem Beweismittel um ein mit Stempel ausgedrucktes Doku- ment, das nach Ausdruck mit Fallnummer, Datum und Unterschrift verse- hen worden sei. Es handle sich somit nicht um eine Kopie, obschon der Beschwerdeführer eine Kopie hätte erhalten müssen.</w:t>
      </w:r>
    </w:p>
    <w:p>
      <w:r>
        <w:rPr>
          <w:b/>
        </w:rPr>
        <w:t>E. 5.2</w:t>
      </w:r>
    </w:p>
    <w:p>
      <w:r>
        <w:t>In der Beschwerde wird geltend gemacht, der Vorwurf des Doppelmor- des sei nicht gerechtfertigt, da der Beschwerdeführer diesen nie begangen habe. Die Behörden hätten diese Vorwürfe missbräuchlich verwendet, ohne dass sie durch ein faires Verfahren begründet oder gerechtfertigt seien. Da er ein politischer Gegner gewesen sei, der das Staatsoberhaupt kritisiert habe, habe er sein Leben in Gefahr gebracht. Die Beamten hätten immer noch Angst vor ihm, weshalb sie ihn, seine Familie und seine Ex- Frau verfolgen würden. Betreffend die unterschiedlichen Hausnummern der Polizei in Baku sei bereits in der Stellungnahme vorgebracht worden, die unterschiedlichen Hausnummern des Polizeigebäudes würden sich durch die Struktur des Gebäudes erklären lassen. Die Hausnummern (…) und (…) beziehe sich auf dasselbe Gebäude, jedoch auf unterschiedliche Seiten des Gebäudes. Das Beweismittel der Polizei Baku sei ein gewöhn- liches Beweismittel, welches im Strafverfahren verwendet werde und sei von der zuständigen Behörde ausgestellt worden.</w:t>
      </w:r>
    </w:p>
    <w:p>
      <w:r>
        <w:rPr>
          <w:b/>
        </w:rPr>
        <w:t>E. 6.1</w:t>
      </w:r>
    </w:p>
    <w:p>
      <w:r>
        <w:t>Nach Durchsicht der Akten kommt das Bundesverwaltungsgericht zum Schluss, dass es dem Beschwerdeführer nicht gelungen ist, eine</w:t>
      </w:r>
    </w:p>
    <w:p>
      <w:r>
        <w:t>D-4528/2024 Seite 7 asylrelevante Verfolgung im Sinne von Art. 3 AsylG glaubhaft zu machen. Die in der Beschwerde vorgebrachten Argumente vermögen die durch die Vorinstanz festgestellten Indizien, dass es sich beim Haftbefehl vom (…) November 2023 um ein verfälschtes Dokument handelt, nicht zu ent- kräften. So verdeutlicht das Vorbringen – das Einsetzen der Fall-Nummer sowie die Unterschrift auf dem Fahndungsentscheid würden die Authenti- zität des Dokuments bestätigen – vielmehr, dass es sich um ein «Original- Dokument» und nicht um eine Kopie handelt. Der Erklärungsversuch be- treffend die unterschiedlichen Hausnummern des Polizeigebäudes vermag den Verdacht, dass es sich beim eingereichten Haftbefehl um ein manipu- liertes Dokument ebenfalls nicht vollständig zu beseitigen, zumal gemäss dem Analysebericht des SEM – nur, aber immerhin – festgestellt wurde, dass in den meisten Entscheiden die Hauptabteilung an der Hausnummer (…) angegeben werde. Zudem erübrigen sich weitere Ausführungen hierzu, weil die Vorinstanz in der angefochtenen Verfügung gar nicht (mehr) auf dieses Sachverhaltselement abstellte. Zudem lässt sich dem Beweis- mittel entnehmen, dass eine zuvor ausgestellte Polizeivorladung sowie eine «Information über das Strafverfahren» an die Familienmitglieder des Beschwerdeführers gesandt worden sei. Der Beschwerdeführer reicht je- doch keine solche Unterlagen zu den Akten, obwohl die Behörde gemäss aserbaidschanischer Strafprozessordnung die beschuldigte Person über die ergriffenen Schritte informieren muss, und die beschuldigte Person die Möglichkeit hat, sich Kopien aushändigen zu lassen (vgl. Art. 90.7.19 und Art. 91.5.29 aserbaidschanische Strafprozessordnung; &lt; https://e- qanun.az/framework/46950 &gt;, abgerufen am 02.09.24).</w:t>
      </w:r>
    </w:p>
    <w:p>
      <w:r>
        <w:rPr>
          <w:b/>
        </w:rPr>
        <w:t>E. 6.2</w:t>
      </w:r>
    </w:p>
    <w:p>
      <w:r>
        <w:t>Im Weiteren ist insbesondere nicht ersichtlich, welchen strafrechtlich relevanten Sachverhalt die aserbaidschanischen Behörden dem Be- schwerdeführer vorwerfen. Einerseits wird in der Eingabe vom 5. Dezem- ber 2023 ausgeführt, der Beschwerdeführer werde wegen eines Doppel- mordes und anderer neuer Vorwürfe gesucht, andererseits findet sich im Haftbefehl vom (…) November 2023 kein Hinweis auf einen Vorwurf des Doppelmordes, vielmehr wird der Beschwerdeführer eines Delikts «gegen den Staat gerichtete öffentliche Aufrufe» sowie der «Verleumdung der Ehre des Präsidenten der Aserbaidschanischen Republik» beschuldigt. Abgese- hen von der – wenig überzeugenden – pauschalen Ausführung, die aser- baidschanischen Behörden würden oftmals Strafverfahren fabrizieren, lie- fert der Beschwerdeführer keine Erklärung, warum die aserbaidschani- schen Behörden ihn – mithin mehr als drei Jahre nach seiner Ausreise – dieser Straftaten bezichtigen sollten. Ferner ist insbesondere auch die zeit- liche Koinzidenz auffällig, dass der Beschwerdeführer rund zwei Wochen</w:t>
      </w:r>
    </w:p>
    <w:p>
      <w:r>
        <w:t>D-4528/2024 Seite 8 nach dem rechtskräftigen Urteil des Bundesverwaltungsgerichts E-120/2022 vom 8. November 2023 mit Schreiben vom (…) November 2023 zur Fahndung ausgeschrieben worden sein soll. Auch der Be- schwerde lässt sich diesbezüglich nichts entnehmen, was dies erklären könnte.</w:t>
      </w:r>
    </w:p>
    <w:p>
      <w:r>
        <w:rPr>
          <w:b/>
        </w:rPr>
        <w:t>E. 6.3</w:t>
      </w:r>
    </w:p>
    <w:p>
      <w:r>
        <w:t>Nach dem Gesagten besteht kein Grund zu Annahme, dem Beschwer- deführer drohe bei einer Rückkehr eine flüchtlingsrechtlich relevante Ver- folgung im Sinne von Art. 3 AsylG. Das SEM hat das Bestehen der Flücht- lingseigenschaft somit zu Recht verneint und das Mehrfachgesuch des Be- schwerdeführers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Wie im Urteil E-120/2022 vom 8. November 2023 (E. 8.2.1 ff.) festge- stellt wurde, erweist sich der Wegweisungsvollzug des Beschwerdeführers nach Aserbaidschan sowohl im Sinne der asyl- als auch völkerrechtlichen Bestimmungen als zulässig. Die hier zu beurteilenden Vorbringen rechtfer- tigen keine andere Einschätzung, da weiterhin nicht von einer flüchtlings- rechtlich relevanten Gefährdung des Beschwerdeführers auszugehen ist. Das flüchtlingsrechtliche Non-Refoulement-Prinzip ist somit nicht tangiert und auch sonst – insbesondere unter Beachtung der aktuellen politischen Entwicklungen in Aserbaidschan – lassen sich keine anderweitigen völker- rechtlichen Vollzugshindernisse erkennen.</w:t>
      </w:r>
    </w:p>
    <w:p>
      <w:r>
        <w:rPr>
          <w:b/>
        </w:rPr>
        <w:t>E. 8.3</w:t>
      </w:r>
    </w:p>
    <w:p>
      <w:r>
        <w:t>Die Zumutbarkeit der Wegweisung wurde bereits im Urteil E-120/2024 (E. 8.3.4) bejaht. Der Beschwerdeführer macht in seinen Eingaben keine</w:t>
      </w:r>
    </w:p>
    <w:p>
      <w:r>
        <w:t>D-4528/2024 Seite 9 Änderung beziehungsweise Verschlechterung seines medizinischen Ge- sundheitszustands geltend, entsprechend besteht keine Grundlage, von den Ausführungen im Urteil E-120/2024 abzuweichen. Nach dem Gesag- ten erweist sich der Vollzug der Wegweisung auch weiterhin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10</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D-4528/2024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