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D-4524/2009 vom 27. September 2011</w:t>
      </w:r>
    </w:p>
    <w:p>
      <w:r>
        <w:t>Bundesverwaltungsgericht, 2011-09-27, DE</w:t>
      </w:r>
    </w:p>
    <w:p>
      <w:r>
        <w:rPr>
          <w:b/>
        </w:rPr>
        <w:t xml:space="preserve">Quelle: </w:t>
      </w:r>
      <w:r>
        <w:t>https://mcp.opencaselaw.ch/entscheid/bvger_D-4524_2009</w:t>
      </w:r>
    </w:p>
    <w:p>
      <w:r>
        <w:t>FR: TAF D-4524/2009 du 27 septembre 2011</w:t>
      </w:r>
    </w:p>
    <w:p>
      <w:r>
        <w:t>IT: TAF D-4524/2009 del 27 settembre 2011</w:t>
      </w:r>
    </w:p>
    <w:p>
      <w:pPr>
        <w:pStyle w:val="Heading2"/>
      </w:pPr>
      <w:r>
        <w:t>Regeste</w:t>
      </w:r>
    </w:p>
    <w:p>
      <w:r>
        <w:t>Nichteintreten auf Asylgesuch (nach Verfahrenswiederaufnahme)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105 AsylG i.V.m. Art. 37 VGG und Art. 52 VwVG). Der Beschwerdeführer ist durch die angefochtene Verfügung besonders berührt und hat ein schutzwürdiges Interesse an deren Aufhebung beziehungsweise Änderung, weshalb er zur Einreichung der Beschwerde legitimiert ist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Abteilungen des Bundesverwaltungsgerichts entscheiden in der Regel in der Besetzung mit drei Richtern oder Richterinnen (Spruchkörper; vgl. Art. 21 Abs. 1 VGG). Das Bundesverwaltungsgericht kann auch in solchen Fällen auf die Durchführung eines Schriftenwechsels verzichten (Art. 111a Abs. 1 AsylG).</w:t>
      </w:r>
    </w:p>
    <w:p>
      <w:r>
        <w:rPr>
          <w:b/>
        </w:rPr>
        <w:t>E. 4</w:t>
      </w:r>
    </w:p>
    <w:p>
      <w:r>
        <w:t>Bei Beschwerden gegen Nichteintretensentscheide, mit denen es das BFM ablehnt, das Asylgesuch auf seine Begründetheit hin zu überprüfen (Art. 32 - 35 und Art. 35a Abs. 2 AsylG), ist die Beurteilungskompetenz der Beschwerdeinstanz grundsätzlich auf die Frage beschränkt, ob die Vorinstanz zu Recht auf das Asylgesuch nicht eingetreten ist (vgl. die vom Bundesverwaltungsgericht fortgeführte Rechtsprechung der vormaligen Schweizerischen Asylrekurskommission [ARK] in Entscheidungen und Mitteilungen der ARK [EMARK] 2004 Nr. 34 E. 2.1 S. 240 f. sowie Urteil des Bundesverwaltungsgerichts D-1648/2011 vom 12. April 2011 E. 4.). Die Beschwerdeinstanz enthält sich einer selbständigen materiellen Prüfung und weist die Sache - sofern sie den Nichteintretensentscheid als unrechtmässig erachtet - zu neuer Entscheidung an die Vorinstanz zurück. Nicht beschränkt ist die Beurteilungszuständigkeit des Bundesverwaltungsgerichts dagegen hinsichtlich der Frage der Wegweisung und deren Vollzugs, da das BFM diesbezüglich eine materielle Prüfung und Entscheidung vorzunehmen hat (vgl. Art. 44 AsylG i.V.m. Art. 83 Abs. 1-4 AuG).</w:t>
      </w:r>
    </w:p>
    <w:p>
      <w:r>
        <w:rPr>
          <w:b/>
        </w:rPr>
        <w:t>E. 5.1</w:t>
      </w:r>
    </w:p>
    <w:p>
      <w:r>
        <w:t>Das BFM hat vorliegend seinen Nichteintretensentscheid vom 2. Juli 2009 auf der Grundlage von Art. 35a Abs. 2 AsylG gefällt. Es gilt daher im Folgenden zu prüfen, ob die Voraussetzungen für ein Nichteintreten nach dieser Bestimmung erfüllt sind.</w:t>
      </w:r>
    </w:p>
    <w:p>
      <w:r>
        <w:rPr>
          <w:b/>
        </w:rPr>
        <w:t>E. 5.2</w:t>
      </w:r>
    </w:p>
    <w:p>
      <w:r>
        <w:t>Gemäss Art. 35a Abs. 1 AsylG wird das Asylverfahren wieder aufgenommen, wenn eine Person, deren Asylgesuch abgeschrieben wurde, erneut ein Asylgesuch stellt. Nach Abs. 2 derselben Bestimmung wird auf ein solches Asylgesuch nicht eingetreten, ausser es bestehen Hinweise, die geeignet sind, die Flüchtlingseigenschaft zu begründen, oder die für die Gewährung vorübergehenden Schutzes relevant sind. Bei der Prüfung von Hinweisen auf für die Flüchtlingseigenschaft relevante Ereignisse, die gemäss Art. 35a Abs. 2 AsylG zum Eintreten auf das Gesuch führen, ist eine summarische materielle Prüfung der Glaubhaftigkeit der Vorbringen der asylsuchenden Person statthaft, wobei in Anlehnung an Art. 32 Abs. 2 Bst. e AsylG die Anforderungen an das Beweismass tief anzusetzen sind (vgl. Botschaft des Bundesrats zur Änderung des Asylgesetzes vom 4. September 2002 [BBl 2002 6845], S. 6883 und 6886; EMARK 2005 Nr. 2 E. 4.3. S. 16 f.). Dabei richtet sich die Relevanz der geltend gemachten Verfolgung nicht nach einem weiten Verfolgungsbegriff, sondern nach jenem von Art. 3 AsylG, weshalb auf ein Asylgesuch nicht eingetreten wird, wenn eines der Elemente des Flüchtlingsbegriffs gemäss Art. 3 AsylG offensichtlich nicht erfüllt ist (vgl. EMARK 2005 Nr. 2 E. 4.5. S. 18).</w:t>
      </w:r>
    </w:p>
    <w:p>
      <w:r>
        <w:rPr>
          <w:b/>
        </w:rPr>
        <w:t>E. 5.3</w:t>
      </w:r>
    </w:p>
    <w:p>
      <w:r>
        <w:t>Im vorliegenden Fall ist nach Prüfung der Akten durch das Gericht - in Übereinstimmung mit den vorinstanzlichen Erwägungen - festzustellen, dass keine glaubhaften Hinweise bestehen, die geeignet sind, die Flüchtlingseigenschaft zu begründen, oder die für die Gewährung vorübergehenden Schutzes relevant sind, wobei zwecks Vermeidung von Wiederholungen vorab auf die zutreffenden vorinstanzlichen Erwägungen zu verweisen ist. In Ergänzung dazu ist festzuhalten, dass die Verfolgungsvorbringen des Beschwerdeführers auch deshalb unglaubhaft sind, da er sich anlässlich der Befragungen in weiteren wesentlichen Punkten erheblich widersprach. So sagte er anlässlich der Kurzbefragung vom 24. November 2008 aus, der Cousin, der um die Hand von G._______ angehalten habe, heisse H._______ (Akten BFM B 9/20, S. 6), während er bei der Anhörung vom 10. Dezember 2008 zu Protokoll gab, dieser Cousin heisse I._______ (Akten BFM B 16/15, S. 6). Zudem machte er anlässlich der Kurzbefragung vom 24. November 2008 geltend, der Bruder von G._______, der sie nach Afghanistan zurückgebracht habe, heisse I._______ (Akten BFM B 9/20, S. 6), wohingegen er bei der Anhörung vom 10. Dezember 2008 vorbrachte, dieser Bruder heisse J._______ (Akten BFM B 16/15, S. 6). Die Ausführungen in der Beschwerdeeingabe sind nicht geeignet, zu einer anderen Einschätzung zu führen, zumal im Wesentlichen lediglich der im vorinstanzlichen Verfahren geltend gemachte Sachverhalt wiederholt wird, ohne auf die in der angefochtenen Verfügung festgehaltenen Argumente Bezug zu nehmen. Es erübrigt sich daher, weiter darauf einzugehen. Nach dem Gesagten ist das BFM in Anwendung von Art. 35a Abs. 2 AsylG zu Recht auf das Asylgesuch des Beschwerdeführers nicht eingetreten.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(vgl. Art. 32 Bst. a der Asylverordnung 1 über Verfahrensfragen vom 11. August 1999 [AsylV 1, SR 142.311]). Die Wegweisung wurde demnach zu Recht angeordnet (BVGE 2009/50 E. 9).</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Die Bedingungen für einen Verzicht auf den Vollzug der Wegweisung (Unzulässigkeit, Unzumutbarkeit, Unmöglichkeit) sind alternativer Natur: Ist eine von ihnen erfüllt, ist der Vollzug der Wegweisung als undurch­führbar zu betrachten und die weitere Anwesenheit in der Schweiz gemäss den Bestimmungen über die vorläufige Aufnahme zu regeln. Gegen eine allfällige Aufhebung der vorläufigen Aufnahme steht dem weggewiesenen Asylsuchenden wiederum die Beschwerde an das Bundesverwaltungsgericht offen (Art. 112 AuG i.V.m. Art. 84 Abs. 2 AuG), wobei in jenem Verfahren die Vollzugshindernisse von Amtes wegen und nach Massgabe der dannzumal herrschenden Verhältnisse von Neuem zu prüfen sind (vgl. BVGE 2009/51 E. 5.4 mit weiteren Hinweisen).</w:t>
      </w:r>
    </w:p>
    <w:p>
      <w:r>
        <w:rPr>
          <w:b/>
        </w:rPr>
        <w:t>E. 8.1</w:t>
      </w:r>
    </w:p>
    <w:p>
      <w:r>
        <w:t>Weil sich vorliegend der Vollzug der Wegweisung, wie in den nachfolgenden Erwägungen aufzuzeigen ist, als unzumutbar erweist, erübrigt sich eine Erörterung der beiden anderen Kriterien.</w:t>
      </w:r>
    </w:p>
    <w:p>
      <w:r>
        <w:rPr>
          <w:b/>
        </w:rPr>
        <w:t>E. 8.2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8.3</w:t>
      </w:r>
    </w:p>
    <w:p>
      <w:r>
        <w:t>Von vornherein ausgeschlossen ist ein Vollzug der Wegweisung in den Iran, wo sich der Beschwerdeführer als afghanischer Staatsbürger bis zu seiner Reise in die Schweiz immer aufgehalten haben will. Selbst angesichts des 18jährigen Aufenthaltes in diesem Land erscheint nicht realistisch, dass der Beschwerdeführer als afghanischer Staatsbürger die iranische Staatsbürgerschaft erwerben konnte. In den Iran könnte der Vollzug der Wegweisung indes nur dann erfolgen, wenn die Möglichkeit einer legalen Wiedereinreise bestünde. Diese Möglichkeit ist von der Vorinstanz aber zu Recht nicht erwogen worden, zumal der Beschwerde-führer als afghanischer Staatsbürger einen allfälligen Duldungsanspruch in diesem Drittstaat aufgrund seiner langen Landesabwesenheit ohnehin verwirkt haben dürfte (vgl. dazu Urteile des Bundesverwaltungsgerichts D-3936/2009 vom 10. August 2009; D-6471/2007 vom 26. August 2009; D-8645/2007 vom 7. Juni 2010). Im Folgenden ist daher zu prüfen, ob sich ein Vollzug der Wegweisung des Beschwerdeführers nach Afghanistan als zumutbar erweist.</w:t>
      </w:r>
    </w:p>
    <w:p>
      <w:r>
        <w:rPr>
          <w:b/>
        </w:rPr>
        <w:t>E. 8.4</w:t>
      </w:r>
    </w:p>
    <w:p>
      <w:r>
        <w:t>Für die Beurteilung der allgemeinen Lage in Afghanistan wird zunächst auf das zur Publikation vorgesehene Länderurteil des Bundesverwaltungsgerichts E-7625/2008 vom 16. Juni 2011 verwiesen. Darin kommt das Gericht zum Schluss, dass in weiten Teilen von Afghanistan - ausser allenfalls in den Grossstädten - eine derart schlechte Sicherheitslage und derart schwierige humanitäre Bedingungen bestünden, dass die Situation als existenzbedrohend im Sinne von Art. 83 Abs. 4 AuG zu qualifizieren sei. Von dieser allgemeinen Feststellung sei die Situation in der Hauptstadt Kabul zu unterscheiden. Angesichts des Umstandes, dass sich dort die Sicherheitslage im Verlauf des vergangenen Jahres nicht weiter verschlechtert habe und die humanitäre Situation im Vergleich zu den übrigen Gebieten etwas weniger dramatisch sei, könne der Vollzug der Wegweisung in die Hauptstadt unter Umständen als zumutbar qualifiziert werden. Solche Umstände könnten grundsätzlich namentlich dann gegeben sein, wenn es sich beim Rückkehrer um einen jungen, gesunden Mann handle. Allerdings müssten zudem die bereits in EMARK 2003 Nr. 10 formulierten strengen Bedingungen in jedem Einzelfall sorgfältig geprüft werden. Unabdingbar sei in erster Linie ein soziales Netz, das sich im Hinblick auf die Aufnahme und Wiedereingliederung des Rückkehrers als tragfähig erweise. Denn ohne Unterstützung durch Familie oder Bekannte würden die schwierigen Lebensverhältnisse auch in der Stadt Kabul unweigerlich zu einer existenziellen beziehungsweise lebensbedrohlichen Situation führen.</w:t>
      </w:r>
    </w:p>
    <w:p>
      <w:r>
        <w:rPr>
          <w:b/>
        </w:rPr>
        <w:t>E. 8.5</w:t>
      </w:r>
    </w:p>
    <w:p>
      <w:r>
        <w:t>Angesichts der Aussagen des Beschwerdeführers ist anzunehmen, dass seine Familie aus der Provinz Ghazni stammt. Ein Wegweisungsvollzug in die Provinz Ghazni ist gemäss den vorstehenden Ausführungen (vgl. vorstehend E. 8.4.) unzumutbar. Übereinstimmend mit der Vorinstanz ist festzustellen, dass der Beschwerdeführer anlässlich der Befragungen widersprüchliche Angaben bezüglich eines familiären Beziehungsnetzes in Afghanistan machte. Nachdem sich nun jedoch gemäss der jüngsten Rechtsprechung die als sicher einzuschätzenden Orte im Wesentlichen auf Kabul und eventuell einige wenige andere Grossstädte reduziert haben, kann aus heutiger Sicht - entgegen der Auffassung der Vorinstanz - nicht mehr davon ausgegangen werden, der Beschwerdeführer gerate im Falle der Rückkehr nach Afghanistan nicht in eine existenzielle Notlage. Aus den Akten ergibt sich in keiner Weise, dass der Beschwerdeführer sich in einer dieser als sicher qualifizierten Städte längere Zeit aufgehalten hätte oder dort über Familienangehörige verfügt. Vielmehr kann mit hinreichender Sicherheit ausgeschlossen werden, dass er dort über ein Beziehungsnetz verfügt, das den strengen Anforderungen an die Tragfähigkeit genügen würde. Der Vollzug der Wegweisung erweist sich diesen Erwägungen gemäss aus heutiger Sicht als nicht zumutbar im Sinne von Art. 83 Abs. 4 AuG. Bei dieser Sachlage erübrigt es sich, auf die weiteren Vorbringen in der Beschwerde zur allgemeinen Situation in Afghanistan einzugehen.</w:t>
      </w:r>
    </w:p>
    <w:p>
      <w:r>
        <w:rPr>
          <w:b/>
        </w:rPr>
        <w:t>E. 8.6</w:t>
      </w:r>
    </w:p>
    <w:p>
      <w:r>
        <w:t>Den Akten lassen sich keinerlei Hinweise entnehmen, wonach der Beschwerdeführer einen der Tatbestände von Art. 83 Abs. 7 AuG (Ausschluss von der vorläufigen Aufnahme) erfüllen würde. Nach dem Gesagten erweist sich der Vollzug seiner Wegweisung aus der Schweiz demzufolge als unzumutbar. Die Beschwerde ist desbezüglich gutzuheissen und das BFM anzuweisen, den Beschwerdeführer vorläufig aufzunehmen.</w:t>
      </w:r>
    </w:p>
    <w:p>
      <w:r>
        <w:rPr>
          <w:b/>
        </w:rPr>
        <w:t>E. 9</w:t>
      </w:r>
    </w:p>
    <w:p>
      <w:r>
        <w:t>Zusammenfassend ist die Beschwerde betreffend Aufhebung der Verfügung und Rückweisung des Verfahrens an die Vorinstanz zwecks materieller Prüfung abzuweisen. Hinsichtlich der Anordnung des Wegweisungsvollzugs ist sie gutzuheissen.</w:t>
      </w:r>
    </w:p>
    <w:p>
      <w:r>
        <w:rPr>
          <w:b/>
        </w:rPr>
        <w:t>E. 10.1</w:t>
      </w:r>
    </w:p>
    <w:p>
      <w:r>
        <w:t>Bei diesem Ausgang des Verfahrens wären die Kosten nach dem Grad des Durchdringens praxisgemäss zur Hälfte, ausmachend Fr. 300.-, dem Beschwerdeführer aufzuerlegen (Art. 63 Abs. 1 und 5 VwVG; Art. 1-3 des Reglements vom 21. Februar 2008 über die Kosten und Entschädigungen vor dem Bundesverwaltungsgericht [VGKE, SR 173.320.2]). Angesichts der Tatsache, dass die Beschwerde nicht als aussichtslos zu bezeichnen war und da aufgrund der Aktenlage von der prozessualen Bedürftigkeit auszugehen ist, ist indessen das Gesuch um Gewährung der unentgeltlichen Rechtspflege gemäss Art. 65 Abs. 1 VwVG - soweit nicht durch die teilweise Gutheissung der Beschwerde hinfällig geworden - gutzuheissen und von der Kostenauferlegung abzusehen.</w:t>
      </w:r>
    </w:p>
    <w:p>
      <w:r>
        <w:rPr>
          <w:b/>
        </w:rPr>
        <w:t>E. 10.2</w:t>
      </w:r>
    </w:p>
    <w:p>
      <w:r>
        <w:t>Gemäss Art. 64 Abs. 1 VwVG kann die Beschwerdeinstanz der ganz oder teilweise obsiegenden Partei von Amtes wegen oder auf Begehren eine Entschädigung der ihr erwachsenen, notwendigen und verhältnismässig hohen Kosten zusprechen. Vorliegend ist der Beschwerdeführer nicht vertreten, weshalb ihm auch keine verhältnismässig hohen Kosten erwachsen sein dürften. Es ist deshalb keine Parteientschädigung zu 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