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D-4522/2016 vom 16. August 2016</w:t>
      </w:r>
    </w:p>
    <w:p>
      <w:r>
        <w:t>Bundesverwaltungsgericht, 2016-08-16, DE</w:t>
      </w:r>
    </w:p>
    <w:p>
      <w:r>
        <w:rPr>
          <w:b/>
        </w:rPr>
        <w:t xml:space="preserve">Quelle: </w:t>
      </w:r>
      <w:r>
        <w:t>https://mcp.opencaselaw.ch/entscheid/bvger_D-4522_2016</w:t>
      </w:r>
    </w:p>
    <w:p>
      <w:r>
        <w:t>FR: TAF D-4522/2016 du 16 août 2016</w:t>
      </w:r>
    </w:p>
    <w:p>
      <w:r>
        <w:t>IT: TAF D-4522/2016 del 16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Die Zuständigkeit eines Staates entsteht noch nicht mit der Erfüllung eines der Kriterien im Katalog, sondern allein mit der Zusage (oder Verfristung) nach einer entsprechenden Anfrage. Der Betroffene hat sich den zwischenstaatlichen Vereinbarungen über die Zuständigkeit zu fügen und kann die Verletzung einer lediglich das zwischenstaatliche Verhältnis betreffenden Norm nicht geltend machen, da diese Normen nicht "self-executing" sind (vgl. BVGE 2010/27, E.4-6). Insbesondere kann der Betroffene in der Regel nicht geltend machen, ein Dublin-Staat sei zu Unrecht angefragt worden, womit sich eine Prüfung der aufgeworfenen Frage durch das Bundesverwaltungsgericht verbietet.</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die schwedischen Behörden dem Beschwerdeführer ein dreimonatiges Schengen-Visum (gültig vom (...) bis (...) ausgestellt hatten. Gestützt darauf ersuchte das SEM die schwedischen Behörden am 15. Juni 2016 um Aufnahme des Beschwerdeführers gestützt auf Art. 21 Dublin-III-VO. Die schwedischen Behörden stimmten dem Gesuch um Übernahme am 23. Juni 2016 zu. Die grundsätzliche Zuständigkeit Schwedens ist somit gegeben. Der Wunsch des Beschwerdeführers um Verbleib in der Schweiz vermag daran nichts zu ändern, zumal die Dublin-III-VO den Schutzsuchenden kein Recht einräumt, den ihren Antrag prüfenden Staat selber auszuwählen (vgl. auch BVGE 2010/45 E. 8).</w:t>
      </w:r>
    </w:p>
    <w:p>
      <w:r>
        <w:rPr>
          <w:b/>
        </w:rPr>
        <w:t>E. 4.2</w:t>
      </w:r>
    </w:p>
    <w:p>
      <w:r>
        <w:t>Im Lichte von Art. 3 Abs. 2 Dublin-III-VO ist zu prüfen, ob es wesentliche Gründe für die Annahme gibt, das Asylverfahren und die Aufnahmebedingungen für Asylsuchende in Schweden würden systemische Schwachstellen aufweisen, die eine Gefahr einer unmenschlichen oder entwürdigenden Behandlung im Sinne des Artikels 4 der EU-Grundrechtecharta mit sich bringen würden.</w:t>
      </w:r>
    </w:p>
    <w:p>
      <w:r>
        <w:rPr>
          <w:b/>
        </w:rPr>
        <w:t>E. 4.2.1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Unbenommen von den in der Beschwerdeeingabe erwähnten Medienerzeugnissen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4.3</w:t>
      </w:r>
    </w:p>
    <w:p>
      <w:r>
        <w:t>Der Beschwerdeführer fordert mit seinen Vorbringen, sein Bruder befinde sich als anerkannter Flüchtling in der Schweiz und er benötige aufgrund seiner gesundheitlichen Situation dessen Hilfe und die Aufnahmebedingungen in Schweden hätten sich drastisch verschlechtert,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4.3.1</w:t>
      </w:r>
    </w:p>
    <w:p>
      <w:r>
        <w:t>Die Vorinstanz hat zu Recht darauf hingewiesen, dass der Beschwerdeführer aus dem Umstand, dass in der Schweiz sein Bruder lebe, keine Rechtsansprüche abzuleiten vermag, zumal Geschwister nicht zur Kernfamilie gemäss Art. 2 Bst. g Dublin-III-VO zu zählen sind und der Beschwerdeführer - wie nachfolgend aufgezeigt - in keinem besonderen Abhängigkeitsverhältnis zu seinem hier wohnhaften Bruder steht.</w:t>
      </w:r>
    </w:p>
    <w:p>
      <w:r>
        <w:rPr>
          <w:b/>
        </w:rPr>
        <w:t>E. 4.3.2</w:t>
      </w:r>
    </w:p>
    <w:p>
      <w:r>
        <w:t>Der Beschwerdeführer hat kein konkretes und ernsthaftes Risiko dargetan, die schwedischen Behörden würden sich weigern, ihn aufzunehmen und seinen Antrag auf internationalen Schutz unter Einhaltung der Regeln der Verfahrensrichtlinie zu prüfen. An dieser Einschätzung vermag der Hinweis auf zwei Medienerzeugnisse nichts zu ändern. Zudem sind den Akten auch keine Gründe für die Annahme zu entnehmen,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Schweden seien derart schlecht, dass sie zu einer Verletzung von Art. 4 der EU-Grundrechtecharta, Art. 3 EMRK oder Art. 3 FoK führen könnten. Der Beschwerdeführer hat auch keine konkreten Hinweise für die Annahme dargetan, Schweden würde ihm dauerhaft die ihm gemäss Aufnahmerichtlinie zustehenden minimalen Lebensbedingungen vorenthalten. Bei einer allfälligen vorübergehenden Einschränkung könnte er sich im Übrigen nötigenfalls an die schwedischen Behörden wenden und die ihm zustehenden Aufnahmebedingungen auf dem Rechtsweg einfordern (vgl. Art. 26 Aufnahmerichtlinie).</w:t>
      </w:r>
    </w:p>
    <w:p>
      <w:r>
        <w:rPr>
          <w:b/>
        </w:rPr>
        <w:t>E. 4.3.3</w:t>
      </w:r>
    </w:p>
    <w:p>
      <w:r>
        <w:t>Der Beschwerdeführer beruft sich ferner darauf, sein Gesundheitszustand stehe einer Überstellung entgegen und macht hierzu Nierenprobleme sowie eine PTBS geltend. Unbenommen vom Umstand, dass Schweden angemessene medizinische Versorgungsleistungen erbringen könne und der Zugang zur medizinischen Behandlung gewährleistet sei, wäre der Beschwerdeführer im Falle einer Überstellung nach Schweden auf sich alleine gestellt und könne nicht auf die Unterstützung seines Bruders bauen. Aufgrund seiner Krankheit brauche er aber nicht nur eine bedürfnisgerechte Wohnung, sondern auch psychische Unterstützung, da er an einer PTBS leide. Bezüglich seinen medizinischen Vorbringen wurde dem Beschwerdeführer übereinstimmend eine Nephrolithiasis (Nierensteinkrankheit) diagnostiziert, wohingegen das Vorliegen einer PTBS in den Arztberichten keine Erwähnung findet (vgl. die erwähnten Arztberichte). Damit macht der Beschwerdeführer implizit geltend, die Überstellung nach Schweden setze ihn einer Gefahr für seine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Der Beschwerdeführer konnte nicht nachweisen, dass er nicht reisefähig sei oder eine Überstellung seine Gesundheit ernsthaft gefährden würde. Im Arztbericht vom 30. Juni 2016 wird festgehalten, dass die Krankheitssymptome nach antibiotischer Therapie rasch gebessert hätten und er am 30. Juni 2016 beschwerde- und fieberfrei mit problemloser Spontanmiktion (problemlose Harnentleerung) habe entlassen werden können. Sein gesundheitliches Problem sei gegenwärtig mit Antibiotika kontrollierbar, wobei die Prognose bei operativer Behandlung "wahrscheinlich günstiger als ohne" sei. Die Termine im Inselspital seien zu annullieren (vgl. Arztbericht vom 9. Juli 2016). Aus dem Ausgeführten geht hervor, dass der Gesundheitszustand des Beschwerdeführers eine Unzulässigkeit im Sinne dieser restriktiven Rechtsprechung nicht zu rechtfertigen vermag. Die gesundheitlichen Probleme sind auch nicht von einer derartigen Schwere, dass aus humanitären Gründen von einer Überstellung abgesehen werden müsste. Vollständigkeitshalber ist festzuhalten, dass die geltend gemachte PTBS lediglich behauptet, nicht jedoch belegt und damit als nicht erstellt erachtet wird. Im Übrigen ist allgemein bekannt, dass Schweden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Schweden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schwedischen Behörden vorgängig in geeigneter Weise über die spezifischen medizinischen Umstände informieren (vgl. Art. 31 f. Dublin-III-VO). Aus den vorstehenden Ausführungen ergibt sich schliesslich, dass der Gesundheitszustand des Beschwerdeführers auch kein besonderes Abhängigkeitsverhältnis zu seinem in der Schweiz lebenden Bruder zu begründen vermag. Weder die ärztliche Empfehlung, der Beschwerdeführer sollte während einer gewissen Zeit (drei bis vier Wochen) bei seinem Bruder wohnen können (Beschwerdebeilage 7 [Schreiben vom 29. Juni 2016]), noch das Schreiben des Bruders (Beschwerdebeilage 8) führen zu einem anderen Ergebnis.</w:t>
      </w:r>
    </w:p>
    <w:p>
      <w:r>
        <w:rPr>
          <w:b/>
        </w:rPr>
        <w:t>E. 4.3.4</w:t>
      </w:r>
    </w:p>
    <w:p>
      <w:r>
        <w:t>Soweit der Beschwerdeführer sinngemäss das Vorliegen von "humanitären Gründen" geltend macht, ist Folgendes festzuhalten:</w:t>
      </w:r>
    </w:p>
    <w:p>
      <w:r>
        <w:rPr>
          <w:b/>
        </w:rPr>
        <w:t>E. 4.3.4.1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4.3.4.2</w:t>
      </w:r>
    </w:p>
    <w:p>
      <w:r>
        <w:t>Die angefochtene Verfügung ist unter diesem Blickwinkel nicht zu beanstanden; insbesondere sind den Akten keine Hinweise auf einen Ermessensmissbrauch oder ein Über- respektive Unterschreiten des Ermessens zu entnehmen und es ist auch nicht ersichtlich, inwiefern die Vorinstanz den Sachverhalt nicht genügend erstellt haben soll. Das Gericht enthält sich deshalb in diesem Zusammenhang weiterer Äusserungen.</w:t>
      </w:r>
    </w:p>
    <w:p>
      <w:r>
        <w:rPr>
          <w:b/>
        </w:rPr>
        <w:t>E. 4.3.5</w:t>
      </w:r>
    </w:p>
    <w:p>
      <w:r>
        <w:t>Nach dem Gesagten besteht kein Grund für eine Anwendung der Ermessenklauseln von Art. 17 Dublin-III-VO. Der Vollständigkeit halber ist nochmals festzuhalten, dass die Dublin-III-VO den Schutzsuchenden kein Recht einräumt, den ihren Antrag prüfenden Staat selber auszuwählen (vgl. auch BVGE 2010/45 E. 8.3).</w:t>
      </w:r>
    </w:p>
    <w:p>
      <w:r>
        <w:rPr>
          <w:b/>
        </w:rPr>
        <w:t>E. 4.4</w:t>
      </w:r>
    </w:p>
    <w:p>
      <w:r>
        <w:t>Somit bleibt Schweden der für die Behandlung der Asylgesuche des Beschwerdeführers zuständige Mitgliedstaat gemäss Dublin-III-VO. Schweden ist verpflichtet, den Beschwerdeführer gemäss Art. 21, 22 und 29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