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D-4516/2015 vom 2. Juni 2016</w:t>
      </w:r>
    </w:p>
    <w:p>
      <w:r>
        <w:t>Bundesverwaltungsgericht, 2016-06-02, DE</w:t>
      </w:r>
    </w:p>
    <w:p>
      <w:r>
        <w:rPr>
          <w:b/>
        </w:rPr>
        <w:t xml:space="preserve">Quelle: </w:t>
      </w:r>
      <w:r>
        <w:t>https://mcp.opencaselaw.ch/entscheid/bvger_D-4516_2015</w:t>
      </w:r>
    </w:p>
    <w:p>
      <w:r>
        <w:t>FR: TAF D-4516/2015 du 2 juin 2016</w:t>
      </w:r>
    </w:p>
    <w:p>
      <w:r>
        <w:t>IT: TAF D-4516/2015 del 2 giugno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Mit den dringlichen Änderungen des Asylgesetzes vom 28. September 2012 (AS 2012 5359), die am 29. September 2012 in Kraft getreten sind, wurden die Bestimmungen betreffend die Stellung von Asylgesuchen aus dem Ausland aufgehoben. Die Übergangsbestimmung (Ziffer III) hält jedoch fest, dass für die vor dem Inkrafttreten der Änderung vom 28. September 2012 gestellten Auslandsgesuche die massgeblichen Artikel (Art. 12, 19, 20, 41 Abs. 2, 52 und 68 AsylG) in der bisherigen Fassung anwendbar sind. Vorliegend kommen somit die bisherigen Bestimmungen betreffend das Auslandsverfahren zur Anwendung.</w:t>
      </w:r>
    </w:p>
    <w:p>
      <w:r>
        <w:rPr>
          <w:b/>
        </w:rPr>
        <w:t>E. 1.3</w:t>
      </w:r>
    </w:p>
    <w:p>
      <w:r>
        <w:t>Parteieingaben in Verfahren vor den Bundesbehörden sind in einer Amtssprache abzufassen (Art. 70 Abs. 1 BV und Art. 33a Abs. 1 VwVG). Die vorliegende Beschwerde ist nicht in einer Amtssprache des Bundes verfasst. Auf die Ansetzung einer Frist zur Beschwerdeverbesserung im Sinne von Art. 52 VwVG kann jedoch aus prozessökonomischen Gründen praxisgemäss verzichtet werden, da die englischsprachige Beschwerdeeingabe verständlich ist, so dass ohne weiteres darüber befunden werden kann. Der vorliegende Entscheid ergeht gestützt auf Art. 33a Abs. 2 VwVG i.V.m. Art. 6 AsylG in deutscher Sprache.</w:t>
      </w:r>
    </w:p>
    <w:p>
      <w:r>
        <w:rPr>
          <w:b/>
        </w:rPr>
        <w:t>E. 1.4</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Auf die frist- und - mit Ausnahme des genannten, jedoch nicht als wesentlich erachteten Mangels hinsichtlich der Sprache der Beschwerdeeingabe (vgl. E. 1.3) - formgerecht eingereichte Beschwerde ist somit einzutreten (Art. 108 Abs. 1 AsylG; Art. 105 AsylG i.V.m. Art. 37 VGG und Art. 48 Abs. 1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einen Schriftenwechsel verzichtet.</w:t>
      </w:r>
    </w:p>
    <w:p>
      <w:r>
        <w:rPr>
          <w:b/>
        </w:rPr>
        <w:t>E. 4.1</w:t>
      </w:r>
    </w:p>
    <w:p>
      <w:r>
        <w:t>Ein Asylgesuch konnte gemäss aArt. 19 AsylG im Ausland bei einer schweizerischen Vertretung gestellt werden, die es an das Bundesamt respektive Staatssekretariat überwies (aArt. 20 Abs. 1 AsylG). Hinsichtlich des Verfahrens sah aArt. 10 Abs. 1 der Asylverordnung 1 vom 11. August 1999 über Verfahrensfragen (AsylV 1, SR 142.311) vor, dass die schweizerische Vertretung mit der asylsuchenden Person in der Regel eine Befragung durchführt. War dies nicht möglich, waren die Asylgründe schriftlich festzuhalten (aArt. 10 Abs. 2 AsylV 1).</w:t>
      </w:r>
    </w:p>
    <w:p>
      <w:r>
        <w:rPr>
          <w:b/>
        </w:rPr>
        <w:t>E. 4.2</w:t>
      </w:r>
    </w:p>
    <w:p>
      <w:r>
        <w:t>Vorliegend wurden der Beschwerdeführer und die Beschwerdeführerin durch die schweizerische Vertretung in E._______ befragt. Zudem legten sie ihre Asylgründe in mehreren Eingaben schriftlich dar. Den verfahrensrechtlichen Anforderungen von aArt. 10 AsylV 1 wurde damit Genüge getan.</w:t>
      </w:r>
    </w:p>
    <w:p>
      <w:r>
        <w:rPr>
          <w:b/>
        </w:rPr>
        <w:t>E. 5.1</w:t>
      </w:r>
    </w:p>
    <w:p>
      <w:r>
        <w:t>Gemäss Art. 2 Abs. 1 AsylG gewährt die Schweiz Flüchtlingen grundsätzlich Asyl. Als Flüchtling wird eine ausländische Person anerkannt, wenn sie in ihrem Heimatstaat oder im Land, in dem sie vor der Ausreise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Das SEM kann ein im Ausland gestelltes Asylgesuch ablehnen, wenn die asylsuchende Person keine Verfolgung glaubhaft machen oder ihr die Aufnahme in einem Drittstaat zugemutet werden kann (Art. 3, Art. 7 und aArt. 52 Abs. 2 AsylG). Gemäss aArt. 20 Abs. 2 AsylG bewilligt das SEM einer asylsuchenden Person die Einreise in die Schweiz zur Asylerteilung, wenn diese die entsprechenden Voraussetzungen erfüllt, oder zur Abklärung des Sachverhalts,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Für die Erteilung einer Einreisebewilligung gelten restriktive Voraussetzungen, wobei den Behörden ein weiter Ermessensspielraum zukommt. Neben der erforderlichen Gefährdung im Sinne von Art. 3 AsylG sind mit Blick auf den Asylausschlussgrund von aArt. 52 Abs. 2 AsylG namentlich die Beziehungsnähe zur Schweiz und zu anderen Staaten, die praktische Möglichkeit und objektive Zumutbarkeit einer anderweitigen Schutzsuche sowie die voraussichtlichen Eingliederungs- und Assimilationsmöglichkeiten in Betracht zu ziehen. Ausschlaggebend für die Erteilung einer Einreisebewilligung ist dabei die Schutzbedürftigkeit der betroffenen Person, mithin die Prüfung der Fragen, ob eine aktuelle Gefährdung im Sinne von Art. 3 AsylG glaubhaft gemacht wird und ob der Verbleib am Aufenthaltsort für die Dauer der Sachverhaltsabklärung zugemutet werden kann (vgl. BVGE 2011/10 E. 3.3. und E. 5.1).</w:t>
      </w:r>
    </w:p>
    <w:p>
      <w:r>
        <w:rPr>
          <w:b/>
        </w:rPr>
        <w:t>E. 6.1</w:t>
      </w:r>
    </w:p>
    <w:p>
      <w:r>
        <w:t>Das Bundesverwaltungsgericht gelangt nach Prüfung der Akten in Übereinstimmung mit der Vorinstanz zum Schluss, dass die Voraussetzungen für die Erteilung einer Einreisebewilligung vorliegend nicht erfüllt sind. Die entsprechenden Ausführungen in der angefochtenen Verfügung, wonach es an der Schutzbedürftigkeit aufgrund einer akuten Gefährdung der Beschwerdeführenden im Sinne von Art. 3 AsylG fehle, erweisen sich als zutreffend. Die Ausführungen in der Rechtsmitteleingabe sind nicht geeignet, eine Änderung der vorinstanzlichen Einschätzung zu bewirken. Während des langjährigen Bürgerkriegs war die allgemeine Situation für Tamilen insbesondere im Norden und Osten Sri Lankas sehr schwierig und es gab eine Vielzahl von Gewaltereignissen. Die Beschwerdeführenden waren laut ihren Schilderungen von der Bürgerkriegssituation in verschiedener Hinsicht betroffen (interne Vertreibung, Verlust naher Angehöriger, Verletzungen). Die Bewilligung der Einreise dient jedoch nicht dem Ausgleich vergangenen Unrechts, sondern bezweckt vielmehr den Schutz vor aktueller asylrechtlich relevanter Verfolgung, weshalb die in diesem Zusammenhang geltend gemachten Vorbringen nicht einreiserelevant sind. Vielmehr ist zu prüfen, ob die Beschwerdeführenden im heutigen Zeitpunkt wegen der früheren Mitgliedschaft des Beschwerdeführers 1 bei den LTTE einreise- und asylrelevanten Nachteilen ausgesetzt sind oder ihnen solche unmittelbar drohen. Dies ist zu verneinen. Der Beschwerdeführer 1 wurde im (...) 2013 aus dem Rehabilitationscamp entlassen, nachdem er die Beobachtungs- und Prüfungsphase erfolgreich bestanden hat (vgl. Bestätigungsschreiben des [...] vom [...] 2013). Seither wurde er nicht mehr festgenommen und auch nicht angeklagt oder verurteilt. Konkrete Anhaltspunkte, die noch heute auf eine konkrete Bedrohung seiner Person schliessen lassen würden, sind den Akten nicht zu entnehmen. Soweit die Beschwerdeführenden angeben, seit der Freilassung des Beschwerdeführers 1 einer Meldepflicht zu unterstehen und regelmässig befragt und auf die Ortsanwesenheit hin kontrolliert zu werden, fehlt es diesen Massnahmen und den damit verbundenen Beeinträchtigungen an der nötigen Intensität, um im Sinne von Art. 3 AsylG relevant zu sein. Zwar soll nicht in Abrede gestellt werden, dass die vorgebrachten Kontrollbesuche und Befragungen sowie die Meldepflicht für die Beschwerdeführenden belastend sind und eine subjektiv empfundene Furcht aufgrund des im Bürgerkrieg Erlebten verständlich ist, aber diese Massnahmen vermögen keine asylrechtlich relevante Verfolgung im Sinne von Art. 3 AsylG respektive eine unmittelbare und konkrete Gefährdung der Beschwerdeführenden zu begründen. Der pauschal vorgebrachte Hinweis, für Tamilen sei die Situation in Sri Lanka nach wie vor schlecht, vermag keine unmittelbare Gefährdung der Beschwerdeführenden im hier relevanten Sinne zu begründen. Das Gericht stellt die schwierigen Lebensumstände der Beschwerdeführenden nicht in Abrede, jedoch vermögen entsprechende humanitäre Überlegungen praxisgemäss keinen ausreichenden Grund für eine Bewilligung der Einreise darzustellen.</w:t>
      </w:r>
    </w:p>
    <w:p>
      <w:r>
        <w:rPr>
          <w:b/>
        </w:rPr>
        <w:t>E. 6.2</w:t>
      </w:r>
    </w:p>
    <w:p>
      <w:r>
        <w:t>Aufgrund des Gesagten vermochten die Beschwerdeführenden nicht darzulegen, dass sie im gegenwärtigen Zeitpunkt konkret und unmittelbar an Leib und Leben gefährdet wären. Das SEM hat die Einreise der Beschwerdeführenden in die Schweiz daher zutreffend verweigert und die Asylgesuche zu Recht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dessen Kosten grundsätzlich den Beschwerdeführenden aufzuerlegen (Art. 63 Abs. 1 VwVG). Aus verwaltungsökonomischen Gründen sowie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