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D-4516/2014 vom 3. November 2016</w:t>
      </w:r>
    </w:p>
    <w:p>
      <w:r>
        <w:t>Bundesverwaltungsgericht, 2016-11-03, DE</w:t>
      </w:r>
    </w:p>
    <w:p>
      <w:r>
        <w:rPr>
          <w:b/>
        </w:rPr>
        <w:t xml:space="preserve">Quelle: </w:t>
      </w:r>
      <w:r>
        <w:t>https://mcp.opencaselaw.ch/entscheid/bvger_D-4516_2014</w:t>
      </w:r>
    </w:p>
    <w:p>
      <w:r>
        <w:t>FR: TAF D-4516/2014 du 3 novembre 2016</w:t>
      </w:r>
    </w:p>
    <w:p>
      <w:r>
        <w:t>IT: TAF D-4516/2014 del 3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2</w:t>
      </w:r>
    </w:p>
    <w:p>
      <w:r>
        <w:t>Die Kognition des Bundesverwaltungsgerichts und die zulässigen Rügen richten sich im Asylbereich nach Art. 106 Abs. 1 AsylG.</w:t>
      </w:r>
    </w:p>
    <w:p>
      <w:r>
        <w:rPr>
          <w:b/>
        </w:rPr>
        <w:t>E. 3.1</w:t>
      </w:r>
    </w:p>
    <w:p>
      <w:r>
        <w:t>In der Beschwerdeschrift wird gerügt, die Vorinstanz habe den Untersuchungsgrundsatz und den Anspruch des Beschwerdeführers auf rechtliches Gehör verletzt. Diese verfahrensrechtlichen Rügen sind vorab zu prüfen, da sie allenfalls geeignet sind, eine Kassation der angefochtenen Verfügung zu bewirken.</w:t>
      </w:r>
    </w:p>
    <w:p>
      <w:r>
        <w:rPr>
          <w:b/>
        </w:rPr>
        <w:t>E. 3.2</w:t>
      </w:r>
    </w:p>
    <w:p>
      <w:r>
        <w:t>Konkret wird die Verletzung der genannten Grundsätze in der Beschwerdeschrift damit begründet, dass die Vorinstanz die geltend gemach­te Verurteilung des Beschwerdeführers wegen Nichtbefolgens der militärischen Einberufung alleine deshalb nicht geglaubt habe, weil sich das entsprechende Beweismittel entgegen der Aussage des Beschwerdeführers nicht in den Akten befunden habe.</w:t>
      </w:r>
    </w:p>
    <w:p>
      <w:r>
        <w:rPr>
          <w:b/>
        </w:rPr>
        <w:t>E. 3.3</w:t>
      </w:r>
    </w:p>
    <w:p>
      <w:r>
        <w:t>Die vorinstanzliche Begründung ist in diesem Punkt in der Tat fragwürdig, wobei die Frage, ob die Schlussfolgerung der Unglaubhaftigkeit zutrifft, eine Frage der Beweiswürdigung darstellt. Im Hinblick auf die Thematik der Begründungspflicht hat die Vorinstanz in ihrem Entscheid hinreichend dargelegt, aufgrund welcher Überlegungen sie zum Schluss kam, dass die vom Beschwerdeführer geltend gemachte Einberufung in die syrische Armee (und damit implizit auch dessen Verurteilung wegen Nichtbefolgens der militärischen Einberufung) unglaubhaft sei. Damit ist sie ihrer Begründungspflicht ausreichend nachgekommen. Dem Beschwerdeführer war es denn auch möglich, den Entscheid der Vorinstanz sachgerecht anzufechten. Im Übrigen wurde dem Beschwerdeführer, der eine Mitwirkungspflicht hat (vgl. Art. 8 AsylG), an der Anhörung mitgeteilt, dass sich das Dokument zu seiner Verurteilung nicht in den Akten befinde (vgl. Akten SEM A 15 S. 15). Es lag an ihm, seinen Rechtsvertreter dahingehend zu informieren und diesen aufzufordern, das entsprechende Dokument nachzureichen, was er offenbar auch getan hat. So wandte sich der damalige Rechtsvertreter mit Schreiben vom 6. Februar 2014 in diesem Zusammenhang an die Vor­in­stanz und verwies dabei auf seine Eingabe vom 3. Oktober 2012, mit welcher er diver­se Beweismittel eingereicht habe (A 10). Angesichts dieses Schreibens durfte die Vorinstanz ohne weiteres davon ausgehen, dass alle sich im Besitz des Beschwerdeführers respektive dessen Rechtsvertreters befindlichen Dokumente zu den Akten gereicht wurden. Ihr kann daher keine Verletzung des Untersuchungsgrundsatzes oder eine mangelhafte Sachverhaltsabklärung vorgeworfen werden. Dies gilt umso mehr, als das entsprechende Dokument auch auf Beschwerdeebene nicht nachgereicht wurde.</w:t>
      </w:r>
    </w:p>
    <w:p>
      <w:r>
        <w:rPr>
          <w:b/>
        </w:rPr>
        <w:t>E. 3.4</w:t>
      </w:r>
    </w:p>
    <w:p>
      <w:r>
        <w:t>Nach dem Gesagten besteht keine Veranlassung, die angefochtene Verfügung aus formellen Gründen aufzuheben. Im Übrigen ist weder ersichtlich noch wird in der Beschwerdeschrift konkret dargelegt, inwiefern die Vorinstanz diesbezüglich den Grundsatz von Treu und Glau­ben verletzt haben soll.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festzustellen, dass die Ausführungen des Beschwerdeführers zu seinen Asylgründen den Anforderungen an die Asylrelevanz gemäss Art. 3 AsylG respektive denjenigen an die Glaubhaftigkeit gemäss Art. 7 AsylG nicht standzuhalten vermögen.</w:t>
      </w:r>
    </w:p>
    <w:p>
      <w:r>
        <w:rPr>
          <w:b/>
        </w:rPr>
        <w:t>E. 5.2</w:t>
      </w:r>
    </w:p>
    <w:p>
      <w:r>
        <w:t>Vorneweg ist festzuhalten, dass der Einwand in der Beschwerdeschrift, der Dolmetscher an der BzP habe die Muttersprache des Beschwerdeführers nicht richtig verstanden (vgl. auch das Schreiben des vormaligen Rechtsvertreters vom 6. Februar 2014, in welchem angeführt wird, der Beschwerdeführer habe den Dolmetscher an der BzP nicht richtig gut verstanden), was angemessen zu würdigen sei, findet im entsprechenden Protokoll keine Stütze. Aus diesem ergeben sich mithin keine Hinweise auf Verständigungsschwierigkeiten zwischen dem Beschwerdeführer und dem Dolmetscher. Zudem gab der Beschwerdeführer an der BzP explizit an, er verstehe den Dolmetscher gut (vgl. A 5 S. 2 und 7). Ebenso wenig bestehen angesichts des Protokollinhalts und der Anmerkungen auf den anlässlich der BzP eingereichten Beweismitteln Anhaltspunkte für die Annahme, der Dolmetscher habe nicht arabisch lesen können.</w:t>
      </w:r>
    </w:p>
    <w:p>
      <w:r>
        <w:rPr>
          <w:b/>
        </w:rPr>
        <w:t>E. 5.3</w:t>
      </w:r>
    </w:p>
    <w:p>
      <w:r>
        <w:t>Der Vollständigkeit halber ist überdies auf den geltend gemachten Vorfall bei der Rückreise des Beschwerdeführers vom Libanon nach Syrien einzugehen. Abgesehen davon, dass gewisse Zweifel am Wahrheitsgehalt dieses Vorbringens bestehen (der Beschwerdeführer reichte im vorinstanzlichen Verfahren eine im Jahr 2008 ausgestellte und intakte Identitätskarte zu den Akten), ist festzuhalten, dass es sich dabei - soweit aus den Akten ersichtlich - um einen isolierten Vorfall ohne weitere Konsequenzen handelte, der über ein Jahr vor der Ausreise des Beschwerdeführers aus Syrien stattfand und nicht ausreisebegründend war. Dieses Vorbringen ist demzufolge nicht asylrelevant.</w:t>
      </w:r>
    </w:p>
    <w:p>
      <w:r>
        <w:rPr>
          <w:b/>
        </w:rPr>
        <w:t>E. 5.4.1</w:t>
      </w:r>
    </w:p>
    <w:p>
      <w:r>
        <w:t>Als Ausreisegrund bringt der Beschwerdeführer vor, er habe in Syrien an etwa zehn Demonstrationen teilgenommen. Er habe dafür auch kurdische Fahnen anfertigen lassen. Zudem habe er mit seinen Freunden Plakate und Flugblätter vorbereitet, angebracht und verteilt. Mehrere seiner Freunde seien verletzt oder gar getötet worden.</w:t>
      </w:r>
    </w:p>
    <w:p>
      <w:r>
        <w:rPr>
          <w:b/>
        </w:rPr>
        <w:t>E. 5.4.2</w:t>
      </w:r>
    </w:p>
    <w:p>
      <w:r>
        <w:t>Auch am Wahrheitsgehalt dieses Vorbringens bestehen erhebliche Zweifel. So machte der Beschwerdeführer beispielsweise bezüglich seiner Demonstrations­teilnahmen - vor allem in zeitlicher Hinsicht - unsubstanziierte und unstimmige Angaben (vgl. A 5 S. 6 und A 15 F51). Letztlich kann die Frage der Glaubhaftig­keit seiner politischen Aktivitäten in Syrien jedoch offengelassen werden, da sie - wie sich aus den nachfolgenden Erwägungen ergibt - ohnehin keine Asylrelevanz zu entfalten vermögen.</w:t>
      </w:r>
    </w:p>
    <w:p>
      <w:r>
        <w:rPr>
          <w:b/>
        </w:rPr>
        <w:t>E. 5.4.3.1</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(vgl. das Referenzurteil des BVGer D-5779/2013 vom 25. Februar 2015 E. 5.7.2).</w:t>
      </w:r>
    </w:p>
    <w:p>
      <w:r>
        <w:rPr>
          <w:b/>
        </w:rPr>
        <w:t>E. 5.4.3.2</w:t>
      </w:r>
    </w:p>
    <w:p>
      <w:r>
        <w:t>Bei Wahrunterstellung der Ausführungen des Beschwerdeführers zu seinen politischen Aktivitäten in Syrien ist davon auszugehen, dass er wie tausende andere an Demonstrationen teilgenommen hat. Seinen Schilderungen ist indessen nicht zu entnehmen, dass er sich dabei speziell hervorgetan hät­te. In der Beschwerdeschrift wird zwar vorgebracht, seine Teilnahme an den Demonstrationen sei den syrischen Behörden nicht entgangen, da jeweils nur ungefähr zehn Demonstranten daran mitgewirkt hätten. Dieser Einwand findet in den Protokollen bei den Akten allerdings keine Stütze. Aus den Aussagen des Beschwerdeführers ergibt sich vielmehr, dass er jeweils in einer Gruppe von ungefähr zehn Freunden an (grösseren) Demonstrationen teilgenommen hat (vgl. A 15 F54 und 68). Des Weiteren machte der Beschwerdeführer im vorinstanzlichen Verfahren nicht geltend, dass er registriert und in diesem Zusammenhang gegen ihn vorgegangen worden sei. Im Gegenteil nannte er auf die entsprechen­de Frage an der Anhörungen keine konkreten Konsequenzen für ihn oder seine Familie (vgl. A 15 F60). Auf die Frage, ob er nicht den Eindruck gehabt habe, deswegen besonders beobachtet worden zu sein, antwortete er zwar, es habe eine Durchsuchung gegeben auf dem Markt, auf welchem er gearbeitet habe. Allerdings machte er nicht geltend, dass dabei speziell nach ihm gesucht worden sei (vgl. A 15 F61). Sodann erklärte er, einmal sei die Polizei an seinen Arbeitsplatz gekommen und habe nach ihm gefragt (vgl. A 15 F65). Es ist aufgrund der Aussagen des Beschwerdeführers jedoch unklar, in welchem Zusammenhang dies geschah. Seine Aussage im Rahmen der freien Schilderung zu seinen Asylgründen an der Anhörung, er habe - neben den Problemen wegen seiner Wehrdienstverweigerung - keine grossen Probleme gehabt (vgl. A 15 F25), deutet jedenfalls daraufhin, dass er im Zusammenhang mit seinen Demonstrationsteilnahmen kei­ne Konsequenzen zu gewärtigen hatte und auch nichts befürchtete. Schliesslich gab der Beschwerdeführer auch zu Protokoll, er sei nicht Mitglied einer kurdischen Partei und auch nicht für eine solche aktiv gewesen (vgl. A 15 F54). Nach dem Gesagten ist nicht davon aus­zugehen, die staatlichen syrischen Sicherheitskräfte hätten ihn als Gegner des Regimes identifiziert.</w:t>
      </w:r>
    </w:p>
    <w:p>
      <w:r>
        <w:rPr>
          <w:b/>
        </w:rPr>
        <w:t>E. 5.4.3.3</w:t>
      </w:r>
    </w:p>
    <w:p>
      <w:r>
        <w:t>Mit der Beschwerdeschrift reichte der Beschwerdeführer einen am 20. November 2011 gegen ihn erlassenen Haftbefehl wegen "Verbreitung falscher Nachrichten, welche die Würde des Landes verletzen würden" zu den Akten. Abgesehen davon, dass dieses Dokument lediglich in Kopie vorliegt, hat der Beschwerdeführer - wie bereits in der Zwischenverfügung vom 20. August 2014 angeführt - im vorinstanzlichen Verfahren keinen solchen Haftbefehl erwähnt und in der Beschwerdeschrift auch nicht erklärt, wie er in den Besitz dieses Dokuments gekommen ist. Letzteres wurde auch in seinen zahlreichen weiteren Eingaben auf Beschwerdeebe­ne nicht nachgeholt. Es kann dem Beschwerdeführer daher nicht geglaubt werden, dass am 20. November 2011 ein Haftbefehl gegen ihn erlassen wur­de.</w:t>
      </w:r>
    </w:p>
    <w:p>
      <w:r>
        <w:rPr>
          <w:b/>
        </w:rPr>
        <w:t>E. 5.4.4</w:t>
      </w:r>
    </w:p>
    <w:p>
      <w:r>
        <w:t>Daraus folgt, dass der Beschwerdeführer aufgrund seiner Demonstrationsteilnahmen in Syrien - sofern überhaupt glaubhaft - im Falle einer Rückkehr dorthin keine ernsthaften Nachteile im Sinne von Art. 3 AsylG zu befürchten hätte.</w:t>
      </w:r>
    </w:p>
    <w:p>
      <w:r>
        <w:rPr>
          <w:b/>
        </w:rPr>
        <w:t>E. 5.5.1</w:t>
      </w:r>
    </w:p>
    <w:p>
      <w:r>
        <w:t>Als Hauptgrund für seine Ausreise aus Syrien machte der Beschwerdeführer geltend, er habe ein Aufgebot für den Militärdienst erhalten (vgl. A 15 F25).</w:t>
      </w:r>
    </w:p>
    <w:p>
      <w:r>
        <w:rPr>
          <w:b/>
        </w:rPr>
        <w:t>E. 5.5.2</w:t>
      </w:r>
    </w:p>
    <w:p>
      <w:r>
        <w:t>Wie bereits in der angefochtenen Verfügung festgehalten, enthalten auch die diesbezüglichen Vorbringen des Beschwerdeführers mehrere Unglaubhaftigkeitselemente. Angesichts der nachfolgenden Ausführungen kann eine einlässliche Glaubhaftigkeitsprüfung der militärischen Einberufung an sich jedoch unterbleiben. An dieser Stelle ist immerhin festzuhalten, dass dem Beschwerdeführer die geltend gemachte Verurteilung wegen Wehrdienstverweigerung nicht geglaubt werden kann, zumal seine diesbezüglichen Aussagen detailarm und widersprüchlich ausgefallen sind. So erklärte er an der Anhörung zunächst, er glaube, er sei zu einer Gefängnisstrafe von mehr als zwei Jahren verurteilt worden (vgl. A 15 F41). Etwas später gab er dagegen zu Protokoll, er sei sich nicht mehr sicher, ob die Strafe 200 oder 300 Tage (also weniger als ein Jahr) gewesen sei (vgl. A 15 F71). Diese unterschiedlichen Aussagen sind nicht nachvollziehbar, zumal von einer verurteilten Person erwartet werden kann, dass sie genaue und widerspruchsfreie Angaben über die Haftdauer machen kann.</w:t>
      </w:r>
    </w:p>
    <w:p>
      <w:r>
        <w:rPr>
          <w:b/>
        </w:rPr>
        <w:t>E. 5.5.3</w:t>
      </w:r>
    </w:p>
    <w:p>
      <w:r>
        <w:t>Das Gericht gelangte in seinem - auch in der Eingabe des Beschwerdeführers vom 2. April 2015 zitierten - Leitentscheid D-5553/2013 vom 18. Februar 2015 (publiziert als BVGE 2015/3)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ebenda E. 5.9).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ebenda E. 6.7.3).</w:t>
      </w:r>
    </w:p>
    <w:p>
      <w:r>
        <w:rPr>
          <w:b/>
        </w:rPr>
        <w:t>E. 5.5.4</w:t>
      </w:r>
    </w:p>
    <w:p>
      <w:r>
        <w:t>Vorliegend weist der Beschwerdeführer kein Profil auf, das mit der Situation vergleichbar wäre, die dem zitierten Leitentscheid zugrunde lag. Es ergeben sich namentlich aus den Akten - insbesondere auch unter Berücksichtigung der unsubstanziierten Aussagen des Beschwerdeführers zu den Aktivitäten seiner Familienangehörigen für kurdische Parteien (vgl. A 15 F56) - keine glaubhaften Hinweise dafür, dass er oder seine Familie in der Vergangenheit die besondere Aufmerksamkeit der staatlichen syrischen Sicherheitskräfte auf sich gezogen haben und von diesen als Gegner des Regimes identifiziert worden sein könn­ten. Es ist daher nicht davon auszugehen, dass der Beschwerdeführer bei einer Rückkehr nach Syrien eine über eine allfällige Bestrafung wegen Wehrdienstverweigerung hinausgehende Behandlung zu gewärtigen hätte.</w:t>
      </w:r>
    </w:p>
    <w:p>
      <w:r>
        <w:rPr>
          <w:b/>
        </w:rPr>
        <w:t>E. 5.5.5</w:t>
      </w:r>
    </w:p>
    <w:p>
      <w:r>
        <w:t>Nach dem Gesagten hätte der Beschwerdeführer auch im Zusammenhang mit der geltend gemachten Wehrdienstverweigerung im Falle einer Rückkehr in sein Heimatland keine ernsthaften Nachteile im Sinne von Art. 3 AsylG zu befürchten.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6.2.1</w:t>
      </w:r>
    </w:p>
    <w:p>
      <w:r>
        <w:t>In der Eingabe des Beschwerdeführers vom 2. April 2015 wird vorgebracht, ihm drohe bei einer Rückkehr nach Syrien der Militärdienst, dessen Ende nicht absehbar sei.</w:t>
      </w:r>
    </w:p>
    <w:p>
      <w:r>
        <w:rPr>
          <w:b/>
        </w:rPr>
        <w:t>E. 6.2.2</w:t>
      </w:r>
    </w:p>
    <w:p>
      <w:r>
        <w:t>Ohne auf die Frage einzugehen, ob es sich dabei überhaupt um einen objektiven Nachfluchtgrund handelt, ist diesbezüglich festzuhalten, dass nicht mit genügender Sicherheit feststeht, ob der an massiven Rüc­kenproblemen leidende Beschwerdeführer (vgl. A 15 F6) bei einer (während der Dauer der vorläufigen Aufnahme in der Schweiz freiwilligen) Rückkehr nach Syrien tatsächlich in die syrische Armee eingezogen würde. Allein die blosse Möglichkeit, nach einer Rückkehr nach Syrien allenfalls militärisch aufgeboten zu werden, vermag jedenfalls keine Furcht vor asylrechtlich relevanten Nachteilen zu begründen (vgl. Urteil des BVGer D-6975/2014 vom 29. April 2016 E. 4.5).</w:t>
      </w:r>
    </w:p>
    <w:p>
      <w:r>
        <w:rPr>
          <w:b/>
        </w:rPr>
        <w:t>E. 6.3</w:t>
      </w:r>
    </w:p>
    <w:p>
      <w:r>
        <w:t>Bezüglich der exilpolitischen Aktivitäten des Beschwerdeführers (Demonstrationsteilnahmen und Aktivitäten im Internet) ist schliesslich Folgendes festzuhalten: Das Bundesverwaltungsgericht geht nach wie vor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(vgl. dazu das Referenzurteil des BVGer D-3839/2013 vom 28. Oktober 2015 E. 6.3.6). Das Bundesverwaltungsgericht teilt die Einschätzung der Vor­­instanz, wonach der Beschwerdeführer kein entsprechendes Profil aufweise. Den diesbezüglichen Erwägungen des SEM wur­de in der Beschwerdeschrift denn auch - abgesehen von der Behauptung, der Beschwerdeführer habe sich in der Schweiz politisch exponiert - nichts entgegengehalten, so dass sich weitere Ausführungen dazu erübrigen.</w:t>
      </w:r>
    </w:p>
    <w:p>
      <w:r>
        <w:rPr>
          <w:b/>
        </w:rPr>
        <w:t>E. 7</w:t>
      </w:r>
    </w:p>
    <w:p>
      <w:r>
        <w:t>Somit ergibt sich, dass die Vorinstanz zu Recht die Flüchtlingseigenschaft des Beschwerdeführers verneint und sein Asylgesuch abgelehnt hat. Die weiteren Beschwerdevorbringen sind nicht geeignet, eine Änderung dieser Einschätzung zu bewirken. Insbesondere kann der Beschwerdeführer aus dem Umstand, dass - wie er in der Eingabe vom 6. September 2016 vorbrachte - andere syrische Staatsangehörige lediglich das Militärdienstbüchlein eingereicht und Asyl erhalten hätten, nichts zu seinen Gunsten ableiten.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der Beschwerdeführer mit der angefochtenen Verfügung wegen Unzumutbarkeit des Wegweisungsvollzugs in der Schweiz vorläufig aufgenommen wurde, erübrigen sich praxisgemäss Ausführungen zur Zulässigkeit und Möglichkeit des Wegweisungsvollzugs. Es bleibt anzumerken, dass sich aus den vorstehenden Erwägungen nicht der Schluss ergibt, der Beschwerdeführer sei zum heutigen Zeitpunkt angesichts der Entwicklungen in seinem Heimatland nicht gefährdet. Indessen ist eine solche Gefährdungslage im Falle des Beschwerdeführers ausschliesslich auf die in Syrien herrschende Bürgerkriegssituation zurückzuführen, welche durch die Vorinstanz gestützt auf Art. 83 Abs. 4 AuG (SR 142.20) im Rahmen der Anordnung der vorläufigen Aufnahme wegen Unzumutbarkeit des Wegweisungsvollzugs berücksichtigt wurde.</w:t>
      </w:r>
    </w:p>
    <w:p>
      <w:r>
        <w:rPr>
          <w:b/>
        </w:rPr>
        <w:t>E. 9</w:t>
      </w:r>
    </w:p>
    <w:p>
      <w:r>
        <w:t>Aus diesen Erwägungen ergibt sich, dass die - einzig in den Ziffern 1-3 des Dispositivs -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 September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