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D-4510/2015 vom 20. Juni 2016</w:t>
      </w:r>
    </w:p>
    <w:p>
      <w:r>
        <w:t>Bundesverwaltungsgericht, 2016-06-20, DE</w:t>
      </w:r>
    </w:p>
    <w:p>
      <w:r>
        <w:rPr>
          <w:b/>
        </w:rPr>
        <w:t xml:space="preserve">Quelle: </w:t>
      </w:r>
      <w:r>
        <w:t>https://mcp.opencaselaw.ch/entscheid/bvger_D-4510_2015</w:t>
      </w:r>
    </w:p>
    <w:p>
      <w:r>
        <w:t>FR: TAF D-4510/2015 du 20 juin 2016</w:t>
      </w:r>
    </w:p>
    <w:p>
      <w:r>
        <w:t>IT: TAF D-4510/2015 del 20 giugno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von Einreisevisa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abgesehen von der nachfolgenden Einschränkung formgerecht eingereichte Beschwerde ist somit einzutreten (Art. 50 und 52 Abs.1 VwVG).</w:t>
      </w:r>
    </w:p>
    <w:p>
      <w:r>
        <w:rPr>
          <w:b/>
        </w:rPr>
        <w:t>E. 1.4</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w:t>
      </w:r>
    </w:p>
    <w:p>
      <w:r>
        <w:rPr>
          <w:b/>
        </w:rPr>
        <w:t>E. 2</w:t>
      </w:r>
    </w:p>
    <w:p>
      <w:r>
        <w:t>Das Bundesverwaltungsgericht überprüft die vorliegend angefochtene Verfügung auf Verletzung von Bundesrecht (einschliesslich Überschreitung oder Missbrauch des Ermessens), unrichtige oder unvollständige Feststellung des rechtserheblichen Sachverhalts und Unangemessenheit hin (Art. 49 VwVG; vgl. BVGE 2015/5 E. 2).</w:t>
      </w:r>
    </w:p>
    <w:p>
      <w:r>
        <w:rPr>
          <w:b/>
        </w:rPr>
        <w:t>E. 3</w:t>
      </w:r>
    </w:p>
    <w:p>
      <w:r>
        <w:t>Gestützt auf Art. 57 Abs. 1 e contrario VwVG wurde auf einen Schriftenwechsel verzichtet.</w:t>
      </w:r>
    </w:p>
    <w:p>
      <w:r>
        <w:rPr>
          <w:b/>
        </w:rPr>
        <w:t>E. 4.1</w:t>
      </w:r>
    </w:p>
    <w:p>
      <w:r>
        <w:t>Das schweizerische Ausländerrecht kennt weder ein allgemeines Recht auf Einreise noch gewährt es einen besonderen Anspruch auf Erteilung eines Visums. Die Schweiz ist daher - wie andere Staaten auch -grundsätzlich nicht verpflichtet, ausländischen Personen die Einreise zu gestatten. Vorbehältlich völkerrechtlicher Verpflichtungen handelt es sich dabei um einen autonomen Entscheid (vgl. BVGE 2009/27 E. 3 m.w.H.).</w:t>
      </w:r>
    </w:p>
    <w:p>
      <w:r>
        <w:rPr>
          <w:b/>
        </w:rPr>
        <w:t>E. 4.2</w:t>
      </w:r>
    </w:p>
    <w:p>
      <w:r>
        <w:t>Mit dem Schengen-Assoziierungsabkommen hat die Schweiz das Schengen-Recht übernommen. Dieses schränkt die nationalstaatlichen Befugnisse insoweit ein, als es einheitliche Voraussetzungen für die Einreise beziehungsweise die Erteilung von Visa aufstellt und die Mitgliedstaaten verpflichtet, Angehörigen von Staaten, die nicht Teil des Schengen-Raumes sind (sogenannte Drittstaatsangehörige) die Einreise beziehungsweise das Visum zu verweigern, wenn die Voraussetzungen nicht erfüllt sind. Dadurch werden die nationalstaatlichen Befugnisse in Bezug auf die Bewilligung der Einreise und die Erteilung von Visa eingeschränkt. Das AuG (SR 142.20) und seine Ausführungsverordnungen gelangen nur soweit zur Anwendung, als das Schengen-Recht keine abweichenden Bestimmungen enthält (Art. Abs. 2-5 AuG).</w:t>
      </w:r>
    </w:p>
    <w:p>
      <w:r>
        <w:rPr>
          <w:b/>
        </w:rPr>
        <w:t>E. 4.3</w:t>
      </w:r>
    </w:p>
    <w:p>
      <w:r>
        <w:t>Drittstaatsangehörige benötigen zur Einreise in die Schweiz beziehungsweise den Schengen-Raum für einen Aufenthalt von höchstens drei Monaten gültige Reisedokumente, die zum Grenzübertritt berechtigen. Ob sie darüber hinaus ein Visum benötigen, bestimmt sich nach der Verordnung (EG) Nr. 539/2011 des Rates vom 15. März 2001 zur Aufstellung der Liste der Drittländer, deren Staatsangehörige beim Überschreiten der Aussengrenzen im Besitz eines Visums sein müssen, sowie der Liste der Drittländer, deren Staatsangehörige von dieser Visumspflicht befreit sind.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der Verordnung vom 22. Oktober 2008 über die Einreise und die Visumerteilung [VEV, SR 142.204] i.V.m. Art. 6 Schengener Grenzkodex [SGK], ABl. L 77 vom 23. März 2016, S. 1-52, Art. 14 Abs. 1 Bst. a-c und Art. 21 Abs. 1 Visakodex, Abl. L. 243 vom 15. September 2009, S. 1-58).</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5 Abs. 4 Bst. c SGK, Art. 25 Abs. 1 Bst. a Visakodex).</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SEM ein Einreisevisum zu erteilen (vgl. Art. 2 Abs. 4 VEV). In seiner Botschaft (BBl 2010 4455 ff.)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Am 25. Februar 2014 erliess das BFM (heute SEM) eine überarbeitete Version dieser Weisung (Nr. 322.123). Sobald sich der Inhaber eines Visums aus humanitären Gründen in der Schweiz befindet, muss er ein Asylgesuch einreichen. Falls er das unterlässt, hat er die Schweiz nach drei Monaten wieder zu verlassen.</w:t>
      </w:r>
    </w:p>
    <w:p>
      <w:r>
        <w:rPr>
          <w:b/>
        </w:rPr>
        <w:t>E. 5.2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S. 4468, 4472 und insbesondere 4490). Befindet sich die Person bereits in einem Drittstaat, ist in der Regel davon auszugehen, dass keine Gefährdung mehr besteht. Diese Ausführungen finden ihren Niederschlag auch in der entsprechenden Weisung Nr. 322.123 des SEM vom 25. Februar 2014. Die Einreisevoraussetzungen sind somit beim Visumsverfahren noch restriktiver als bei den Auslandgesuchen, bei denen Einreisebewilligungen bereits nur sehr zurückhaltend erteilt wurden (vgl. zur entsprechenden Praxis BVGE 2011/10 E. 3.3, BVGE 2015/5 E. 4.1). Auf diesen Umstand hatte auch der Bundesrat in der Botschaft vom 26. Mai 2010 hingewiesen (vgl. BBl a.a.O. S. 4468, 4490).</w:t>
      </w:r>
    </w:p>
    <w:p>
      <w:r>
        <w:rPr>
          <w:b/>
        </w:rPr>
        <w:t>E. 6.1</w:t>
      </w:r>
    </w:p>
    <w:p>
      <w:r>
        <w:t>In ihrem Gesuch vom 19. Februar 2015, ihrer undatierten Einsprache von Anfang April 2015 sowie ihrer Beschwerde vom 5. Juli 2015 und allen folgenden Eingaben ersuchten die Beschwerdeführenden um Erteilung eines humanitären Visums. Sie machten dazu geltend, sie seien in Sri Lanka nicht sicher, das Klima sei von Gewalt geprägt. Ausserdem könnten sie als Witwe, beziehungsweise Waisen eines verschollenen LTTE-Kämpfers kein sicheres Leben führen, niemand wolle ihnen eine Wohnung vermieten, sie müssten den Wohnort häufig wechseln und würden behelligt. Die Beschwerdeführerin werde von Geheimdienstmitarbeitern belästigt, welche sie nach dem Verbleib des verschollenen Ehemanns fragten. Sie sehe sich als junge Witwe den Nachstellungen durch Männer schutzlos ausgeliefert, Sie befürchte zudem, dass ihre Kinder von Menschenhändlern entführt werden könnten.</w:t>
      </w:r>
    </w:p>
    <w:p>
      <w:r>
        <w:rPr>
          <w:b/>
        </w:rPr>
        <w:t>E. 6.2</w:t>
      </w:r>
    </w:p>
    <w:p>
      <w:r>
        <w:t>Im Beschwerdeverfahren wurde nicht bestritten, dass die vom SEM in seinem Einspracheentscheid dargelegten Voraussetzungen für die Erteilung eines Schengen-Visums nicht gegeben sind; namentlich werden keine stichhaltigen Argumente dargelegt, die die Einschätzung in Frage stellen würden, eine Wiederausreise der Beschwerdeführenden aus dem Schengenraum vor Ablauf der Visumsfrist sei nicht gewährleistet. Im Gegenteil ersuchen die Beschwerdeführenden um Schutz vor Gefährdung in ihrem Heimatland. Sie haben die Verweigerung eines Visums aus humanitären Gründen angefochten und bestreiten sinngemäss die vorinstanzliche Einschätzung, sie hätten keine akute Gefährdung ihrer Person aufzuzeigen vermocht.</w:t>
      </w:r>
    </w:p>
    <w:p>
      <w:r>
        <w:rPr>
          <w:b/>
        </w:rPr>
        <w:t>E. 7.1</w:t>
      </w:r>
    </w:p>
    <w:p>
      <w:r>
        <w:t>Nach eingehender Prüfung der Akten kommt das Bundesverwaltungsgericht zum Schluss, dass das SEM das Gesuch um Erteilung eines humanitären Visums zu Recht abgelehnt hat.</w:t>
      </w:r>
    </w:p>
    <w:p>
      <w:r>
        <w:rPr>
          <w:b/>
        </w:rPr>
        <w:t>E. 7.2</w:t>
      </w:r>
    </w:p>
    <w:p>
      <w:r>
        <w:t>Im unter BVGE 2011/24 publizierten Länderurteil betreffend Sri Lanka wurden diverse Personenkreise definiert, die heute trotz der verbesserten Sicherheitslage seit Beendigung des militärischen Konflikts im Mai 2009 immer noch einer erhöhten Verfolgungsgefahr ausgesetzt sind. Das Urteil führt aus, dass auch die Gewalt gegenüber Frauen durch die Intensivierung der Kampfhandlungen in der Schlussphase des Konfliktes, insbesondere im Norden und im Osten des Landes, zugenommen hat. Trotz Beendigung der militärischen Feindseligkeiten werde nach wie vor von sexuellen Übergriffen respektive geschlechtsspezifischer Gewalt gegenüber Frauen berichtet. Im Norden Sri Lankas, wo in vielen der neu angesiedelten Familien eine Frau Familienoberhaupt ist, werde von - durch Angehörige der sri-lankischen Sicherheitskräfte begangene - Vergewaltigungen berichtet. Auch in den Lagern für Binnenvertriebene (IDP-Camps) und in den Haftanstalten sollen viele Frauen Vergewaltigungen und sexuelle Gewalt seitens des Sicherheitspersonals erlitten haben, womit sie in eigener Person Zeuge von massiven Verbrechen und sexuellen Übergriffen geworden sind. Die bestehenden Gesetzesbestimmungen, welche Vergewaltigung, häusliche Gewalt und andere Formen der Gewalt gegen Frauen unter Strafe stellen, werden nicht wirksam umgesetzt (vgl. UNHCR 2010, a. a. O., S. 7 ff.; U.S. Department of State 2010, a. a. O.; United Kingdom Foreign &amp; Commonwealth Office, März 2011, a. a. O., S. 292, BVGE 2011/24, E. 8.3.1). Auch Kinder sind betroffen, es wird berichtet, dass die Eelam People's Democratic Party (EPDP) und die People's Liberation Organization of Tamil Eelam (PLOTE) weiterhin Kinder für bestimmte Aufgaben, etwa die Beobachtung von Büros, rekrutieren und benutzen. Bis heute wurde in Fällen der Rekrutierung von Kindern weder ermittelt noch ein Verfahren eingeleitet (vgl. UNHCR 2010, a. a. O., S. 8 und Fn. 60 mit weiterem Verweis) (vgl. ebenda, E. 8.3.2).</w:t>
      </w:r>
    </w:p>
    <w:p>
      <w:r>
        <w:rPr>
          <w:b/>
        </w:rPr>
        <w:t>E. 7.3</w:t>
      </w:r>
    </w:p>
    <w:p>
      <w:r>
        <w:t>Die Beschwerdeführerin reichte verschiedene Bestätigungen lokaler Behörden und Organisationen zu den Akten, wonach ihr religiös angetrauter Ehemann seit April 2009 als vermisst gilt. Sie selbst sei nach eigenen Angaben ebenfalls eine Waise. Sie dokumentierte ihre Bemühungen betreffend den Vermissten und reichte zum Beispiel einen Auszug aus dem Polizeiregister von I._______ vom 29. Januar 2015 betreffend eine von ihr aufgegebene Vermisstenanzeige, eine Bestätigung der Presidential Commission to investigate into Complaints regarding Missing Persons vom 28. Februar 2015, eine Bestätigung des "[Sozialdienst]" in J._______, F._______, vom 17. Februar 2015, sowie eine Bestätigung des Suchdienstes des Internationalen Komitees vom Roten Kreuz in Colombo ein, wonach die Beschwerdeführerin am 30. Januar 2015 ein Tracing-Request betreffend ihren Ehemann eingereicht hatte. Sie brachte auch vor, an ihrem Aufenthaltsort in einem kirchlichen Behindertenheim von Angehörigen des Militärs belästigt worden zu sein und legte dafür eine Bestätigung der "(...)"-Einrichtung vom 2. Dezember 2012 ins Recht. Aus Sicht des Bundesverwaltungsgerichts hat die Beschwerdeführerin glaubhaft gemacht, dass ihr Ehemann verschwunden ist und sie nun alleine für sich und die Kinder sorgen muss. Allerdings teilt das Gericht die Einschätzung der Botschaft, wonach den Beschwerdeführenden keine konkrete Gefährdung droht. Obwohl die Beschwerdeführerin zahlreiche Eingaben ins Recht legte, blieben ihre Angaben zu den angeblich erlittenen Belästigungen durch Angehörige des Militärs in jedem dieser Schreiben sehr unkonkret und vage. Es erscheint auch als wenig plausibel, dass die Sicherheitsbehörden sie noch immer nach ihrem verschollenen Mann befragen sollten, wenn sie selbst diesen bei verschiedensten - auch staatlichen - Organen als seit 2009 vermisst gemeldet hat. Sie hat auch stets betont, selbst nicht für die LTTE tätig gewesen zu sein. Die Beschwerdeführerin beruft sich in ihren Eingaben auf das von Gewalt geprägte Klima und verweist auf Entführungen durch die Sicherheitskräfte (vgl. das Schreiben vom 8. Mai 2016), allerdings sind auch diese Aussagen stets sehr allgemein und die Beschwerdeführerin vermag eine direkte und konkrete Betroffenheit nicht überzeugend darzulegen. Ferner ist auch ihr wiederholter Hinweis auf die Vergewaltigung und Ermordung einer Schülerin nicht geeignet, eine ihr drohende Gefahr zu belegen. Es ist verständlich und nachvollziehbar, dass all diese Nachrichten Befürchtungen bei der Beschwerdeführerin auslösen. Daraus kann das Gericht jedoch nicht auf ein akut drohendes Risiko für ihre Sicherheit schliessen. Für ihr weiteres Vorbringen, wonach die Behörden sie nicht unterstützen würden, konnte sie keine weiteren Belege liefern oder die Untätigkeit der Behörden konkreter schildern. Auch der Umstand, dass die Beschwerdeführerin beim Wahlkampf eines Mitglieds der Tamil National Alliance mitgearbeitet haben will, vermag diese Einschätzung nicht zu erschüttern, da auch dieses Vorbringen nicht konkretisiert oder belegt wurde. In Anbetracht all dieser Erwägungen kommt das Gericht zum Schluss, dass die Voraussetzungen für die Erteilung eines humanitären Visums vorliegend nicht erfüllt sind. Die Beschwerdeführenden erlitten seitens der sri-lankischen Behörden keine konkreten und erheblichen Nachteile. Aufgrund der Aktenlage erscheint es wenig wahrscheinlich, dass sie in absehbarer Zukunft von den sri-lankischen Behörden in gesteigertem Ausmass behelligt werden. Angesichts der zugegebenermassen problematischen Sicherheitslage und der wirtschaftlichen Probleme, ist verständlich, dass die Beschwerdeführenden ihre Lage subjektiv als bedrohlich empfinden; jedoch bestehen im vorliegenden Fall keine konkreten Anzeichen dafür, dass sie in Sri Lanka unmittelbar, ernsthaft und konkret an Leib und Leben bedroht sind. Sollten sich die Beschwerdeführerin weiterhin von unbekannten Drittpersonen bedroht fühlen, steht es ihr offen, sich an die sri-lankischen Sicherheitsbehörden zu wenden und entsprechende Sicherheitsvorkehrungen zu treffen. Wie vom SEM zutreffend erwogen wurde, befinden sie sich somit nicht in einer besonderen Notsituation, die ein behördliches Eingreifen seitens der Schweiz zwingend erforderlich machen würde.</w:t>
      </w:r>
    </w:p>
    <w:p>
      <w:r>
        <w:rPr>
          <w:b/>
        </w:rPr>
        <w:t>E. 7.4</w:t>
      </w:r>
    </w:p>
    <w:p>
      <w:r>
        <w:t>Aufgrund der vorstehenden Erwägungen gelangt das Bundesverwaltungsgericht zum Schluss, dass das SEM zu Recht und mit zutreffender Begründung das Vorliegen der Voraussetzungen zur Erteilung von Einreisevisa verneint und die Einsprache vom Anfang April 2015 abgewiesen hat. Daran vermögen die eingereichten Bestätigungsschreiben, mit denen der von der Beschwerdeführerin geschilderte Sachverhalt bestätigt werden soll, nichts zu ändern.</w:t>
      </w:r>
    </w:p>
    <w:p>
      <w:r>
        <w:rPr>
          <w:b/>
        </w:rPr>
        <w:t>E. 8</w:t>
      </w:r>
    </w:p>
    <w:p>
      <w:r>
        <w:t>Zusammenfassend ist festzustellen, dass die angefochtene Verfügung Bundesrecht nicht verletzt, den rechtserheblichen Sachverhalt richtig und vollständig feststellt und angemessen ist. Die Beschwerde ist daher abzuweisen.</w:t>
      </w:r>
    </w:p>
    <w:p>
      <w:r>
        <w:rPr>
          <w:b/>
        </w:rPr>
        <w:t>E. 9</w:t>
      </w:r>
    </w:p>
    <w:p>
      <w:r>
        <w:t>Bei diesem Ausgang des Verfahrens wären dessen Kosten grundsätzlich den unterlegenen Beschwerdeführenden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