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D-4508/2018 vom 24. September 2018</w:t>
      </w:r>
    </w:p>
    <w:p>
      <w:r>
        <w:t>Bundesverwaltungsgericht, 2018-09-24, DE</w:t>
      </w:r>
    </w:p>
    <w:p>
      <w:r>
        <w:rPr>
          <w:b/>
        </w:rPr>
        <w:t xml:space="preserve">Quelle: </w:t>
      </w:r>
      <w:r>
        <w:t>https://mcp.opencaselaw.ch/entscheid/bvger_D-4508_2018</w:t>
      </w:r>
    </w:p>
    <w:p>
      <w:r>
        <w:t>FR: TAF D-4508/2018 du 24 septembre 2018</w:t>
      </w:r>
    </w:p>
    <w:p>
      <w:r>
        <w:t>IT: TAF D-4508/2018 del 24 settembre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Beschwerdeführinnen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Abs. 1 VwVG). Auf die Beschwerde ist - mit nachfolgender Ausnahme - einzutreten. 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Antrag auf Mitteilung des Spruchgremiums wird mit Erlass des vorliegenden Urteils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Beschwerdeführerin heiratete am 22. Juni 2016 D._______ (N [...]), der am 21. März 2011 unabhängig von den Beschwerdeführerinnen in der Schweiz ein Asylgesuch eingereicht hatte. Sein Asylgesuch wurde mit Verfügung des BFM vom 14. April 2014 erstmals abgewiesen. Eine gegen diese Verfügung erhobene Beschwerde wurde mit Urteil des Bundesverwaltungsgerichts D-2831/2014 vom 17. November 2017 gutgeheissen und die Sache wurde zur Neubeurteilung an die Vorinstanz zurückgewiesen. Mit Verfügung vom 28. Juni 2018 wies das SEM das Asylgesuch erneut ab. Eine gegen diese Verfügung erhobene Beschwerde wurde mit heutigem Urteil D-4420/2018 vom 24. September gutgeheissen. Die angefochtene Verfügung wurde aufgehoben und zur erneuten Entscheidung an das SEM zurückgewiesen.</w:t>
      </w:r>
    </w:p>
    <w:p>
      <w:r>
        <w:rPr>
          <w:b/>
        </w:rPr>
        <w:t>E. 5.2</w:t>
      </w:r>
    </w:p>
    <w:p>
      <w:r>
        <w:t>Heiraten zwei Asylsuchende in der Schweiz, die unabhängig voneinander ein Asylgesuch eingereicht haben, so kann die Frage der Flüchtlingseigenschaft des einen nicht losgelöst von derjenigen des anderen Ehegatten beurteilt werden. Ist - wie im vorliegenden Fall - eine Beschwerde der Ehegattin beim Bundesverwaltungsgericht hängig, während betreffend den Ehegatten eine Rückweisung an die Vorinstanz erfolgte, wodurch sein Asylverfahren wieder beim SEM in erster Instanz behandelt wird, so hat gemäss Entscheidungen und Mitteilungen der Schweizerischen Asylrekurskommission [EMARK] 1999 Nr. 1 das Bundesverwaltungsgericht sein Verfahren zu sistieren, es sei denn, das SEM habe sein Verfahren auf unbestimmte Zeit sistiert. In letzterem Fall ist demgegenüber keine Sistierung des bundesverwaltungsgerichtlichen Verfahrens, sondern vielmehr eine Rückweisung der Sache an die Vorinstanz angezeigt (vgl. EMARK 1999 Nr. 1 E. 2a-e).</w:t>
      </w:r>
    </w:p>
    <w:p>
      <w:r>
        <w:rPr>
          <w:b/>
        </w:rPr>
        <w:t>E. 5.3</w:t>
      </w:r>
    </w:p>
    <w:p>
      <w:r>
        <w:t>Da aufgrund der Prioritätenordnung des SEM nicht absehbar ist, wann der erstinstanzliche Entscheid betreffend das Asylgesuch des Ehemannes ergehen wird, kann das diesbezügliche Verfahren als faktisch auf unbestimmte Zeit sistiert gelten. In Anwendung der soeben beschriebenen Grundsätze ist die beim Bundesverwaltungsgericht hängige Streitsache daher an die Vorinstanz zurückzuweisen.</w:t>
      </w:r>
    </w:p>
    <w:p>
      <w:r>
        <w:rPr>
          <w:b/>
        </w:rPr>
        <w:t>E. 5.4</w:t>
      </w:r>
    </w:p>
    <w:p>
      <w:r>
        <w:t>Somit ist die vorliegende Beschwerde gutzuheissen, die Verfügung des SEM vom 28. Juni 2018 aufzuheben und das Verfahren zur Neubeurteilung in Koordination mit dem Verfahren betreffend den Ehemann an die Vorinstanz zurückzuweisen.</w:t>
      </w:r>
    </w:p>
    <w:p>
      <w:r>
        <w:rPr>
          <w:b/>
        </w:rPr>
        <w:t>E. 6.1</w:t>
      </w:r>
    </w:p>
    <w:p>
      <w:r>
        <w:t>Die Verfahrenskosten sind grundsätzlich der unterlegenen Partei aufzuerlegen (Art. 63 Abs. 1 VwVG). Bei teilweisem Unterliegen sind die Verfahrenskosten anteilsmässig zu tragen. Vorliegend wurde auf den Antrag der Beschwerdeführerinnen um Mitteilung betreffend die Bildung des Spruchkörpers nicht eingetreten, weshalb sie in diesem Punkt unterliegen und somit diesbezüglich kostenpflichtig wären. In Anwendung von Art. 6 Bst. b des Reglements vom 21. Februar 2008 über die Kosten und Entschädigungen vor dem Bundesverwaltungsgericht (VGKE, SR 173.320.2) ist jedoch auf Verfahrenskosten zu verzichten, da es unverhältnismässig erscheint, diese Kosten den Beschwerdeführerinnen aufzuerlegen.</w:t>
      </w:r>
    </w:p>
    <w:p>
      <w:r>
        <w:rPr>
          <w:b/>
        </w:rPr>
        <w:t>E. 6.2</w:t>
      </w:r>
    </w:p>
    <w:p>
      <w:r>
        <w:t>Der Rechtsvertreter der Beschwerdeführerinnen ist jedoch darauf hinzuweisen, dass bei erneuter Stellung des im Wesentlichen stets gleichbegründeten Rechtsbegehrens um Bestätigung der Zufälligkeit beziehungsweise der Offenlegung der objektiven Kriterien der Spruchkörperbildung, über welches bereits mehrfach befunden worden ist, diese unnötig verursachten Kosten dem Rechtsvertreter persönlich auferlegt werden können (vgl. Art. 6 AsylG i.V.m. Art. 66 Abs. 3 BGG).</w:t>
      </w:r>
    </w:p>
    <w:p>
      <w:r>
        <w:rPr>
          <w:b/>
        </w:rPr>
        <w:t>E. 7</w:t>
      </w:r>
    </w:p>
    <w:p>
      <w:r>
        <w:t>Den vertretenen Beschwerdeführerinnen ist angesichts seines Obsiegens in Anwendung von Art. 64 VwVG und Art. 7 Abs. 1 VGKE eine Entschädigung für die ihnen notwendigerweise erwachsenen Parteikosten zuzusprechen. Der Rechtsvertreter der Beschwerdeführerinnen hat keine Kostennote eingereicht. Auf die Nachforderung einer solchen kann jedoch verzichtet werden, da sich im vorliegenden Verfahren der Aufwand zuverlässig abschätzen lässt (Art. 14 Abs. 2 VGKE). Entschädigungspflichtig ist nur der notwendige Aufwand, weshalb es zu berücksichtigen gilt, dass die Beschwerdeeingabe sowohl unnötige Passagen (etwa die als deplatziert zu bezeichnende Androhung zukünftiger Revisionsbegehren aufgrund schwerwiegender fachlicher Fehler) als auch weitschweifige und teilweise redundante Ausführungen enthält. Die Vorbringen zur allgemeinen Lage in der Türkei sind zudem im Wesentlichen identisch mit denjenigen in der Beschwerdeschrift im Verfahren D-4420/2018. Die sich daraus ergebenden Synergien gilt es zu berücksichtigen. Ferner wurde auf den Antrag betreffend Spruchkörperzusammensetzung nicht eingetreten, weshalb der damit zusammenhängende Aufwand nicht zu entschädigen ist. Die von der Vorinstanz zu entrichtende Parteientschädigung ist in Berücksichtigung dieser Umstände sowie der übrigen massgeblichen Bemessungsfaktoren (vgl. Art. 8 ff. VGKE) auf insgesamt Fr. 1'800.- (inkl. Mehrwertsteuerzuschlag im Sinne von Art. 9 Abs. 1 Bst. c VGKE)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