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D-4508/2013 vom 15. Oktober 2013</w:t>
      </w:r>
    </w:p>
    <w:p>
      <w:r>
        <w:t>Bundesverwaltungsgericht, 2013-10-15, DE</w:t>
      </w:r>
    </w:p>
    <w:p>
      <w:r>
        <w:rPr>
          <w:b/>
        </w:rPr>
        <w:t xml:space="preserve">Quelle: </w:t>
      </w:r>
      <w:r>
        <w:t>https://mcp.opencaselaw.ch/entscheid/bvger_D-4508_2013</w:t>
      </w:r>
    </w:p>
    <w:p>
      <w:r>
        <w:t>FR: TAF D-4508/2013 du 15 octobre 2013</w:t>
      </w:r>
    </w:p>
    <w:p>
      <w:r>
        <w:t>IT: TAF D-4508/2013 del 15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Auf das in der Beschwerde gestellte Eventualbegehren um Wiederherstellung der aufschiebenden Wirkung ist mangels Rechtsschutzinteresses nicht einzutreten, da die Vorinstanz die der Beschwerde von Gesetzes wegen zukommende aufschiebende Wirkung (vgl. Art. 55 VwVG; Art. 42 AsylG) nicht entzogen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(Art. 7 Abs. 1 AsylG).</w:t>
      </w:r>
    </w:p>
    <w:p>
      <w:r>
        <w:rPr>
          <w:b/>
        </w:rPr>
        <w:t>E. 6.1</w:t>
      </w:r>
    </w:p>
    <w:p>
      <w:r>
        <w:t>Das Gericht stellt nach Prüfung der Akten fest, dass die Vorinstanz zu Recht erwogen hat, dass der geltend gemachte Sachverhalt des Beschwerdeführers den Anforderungen an die Flüchtlingseigenschaft nicht zu genügen vermag. Der Einwand in der Beschwerde, der Vorfall auf dem Markt habe sich im Jahr 2012 und nicht 2011 ereignet, führt zu keiner anderen Beurteilung. Ebenfalls werden mit der Wiederholung auf Beschwerdeebene der bereits bei der Vorinstanz geltend gemachten Asylgründe den vorinstanzlichen Erwägungen, auf die verwiesen werden kann, keine stichhaltigen und substanziierten Argumente entgegengesetzt. Ungeachtet dessen ist aber festzuhalten, dass den geltende gemachten Verfolgungsvorbringen kein asylrechtlich relevantes Motiv im Sinne von Art. 3 AsylG zugrunde liegt, weshalb den vom Beschwerdeführer angeblich befürchteten Nachteilen von vornherein asylrechtlich keine Relevanz zukommt.</w:t>
      </w:r>
    </w:p>
    <w:p>
      <w:r>
        <w:rPr>
          <w:b/>
        </w:rPr>
        <w:t>E. 6.2</w:t>
      </w:r>
    </w:p>
    <w:p>
      <w:r>
        <w:t>Zusammenfassend ist festzustellen, dass es dem Beschwerdeführer nicht gelungen ist, nachzuweisen oder glaubhaft zu machen, dass er in der Heimat ernsthafte Nachteile gemäss Art. 3 AsylG erlitten hat, solche bei der Ausreise zu befürchten hätte oder bei der Rückkehr in die Ukraine befürchten müsste. Er erfüllt somit die Voraussetzungen zur Zuerkennung der Flüchtlingseigenschaft nicht, weshalb die Vorinstanz sein Asylgesuch zu Recht abgelehnt hat. Es erübrigt sich deshalb, auf die weiteren Vorbringen und die eingereichten Beweismittel im Einzelnen einzugehen, da sie an obiger Erkenntnis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Ukraine ist demnach unter dem Aspekt von Art. 5 AsylG rechtmässig. Sodann ergeben sich weder aus den Aussagen des Beschwerdeführers noch aus den Akten Anhaltspunkte dafür, dass er für den Fall einer Ausschaffung in die Ukraine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Ukraine lässt den Wegweisungsvollzug zum heutigen Zeitpunkt nicht als unzulässig erscheinen. Im Weiteren gilt es zu berücksichtigen, dass der schweizerische Bundesrat die Ukraine mit Beschluss vom 8. Dezember 2006 als einen verfolgungssicheren Staat im Sinne von Art. 6a Abs. 2 Bst. a AsylG ("Safe Country") bezeichnet hat.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Weder herrscht in der Ukraine eine Situation allgemeiner Gewalt noch besteht aufgrund der Akten ein Grund zur Annahme, der Beschwerdeführer gerate im Falle einer Rückkehr in die Ukraine aus individuellen Gründen wirtschaftlicher, sozialer oder gesundheitlicher Natur in eine existenzbedrohende Situation, die den Vollzug der Wegweisung als unzumutbar erscheinen liesse. Der Beschwerdeführer ist - soweit aus den Akten ersichtlich - gesund und hat ausser in B._______ auch an anderen Orten in der Ukraine gearbeitet. Seine Flexibilität, an verschiedenen Orten und in verschiedenen Branchen in seiner Heimat berufstätig gewesen zu sein, lässt darauf schliessen, dass er auch nach seiner Rückkehr seinen Lebensunterhalt bestreiten kann. Neben seiner Mutter dürfte der Beschwerdeführer im Heimatland zudem über einen Freundeskreis verfügen, weshalb der Vollzug der Wegweisung als zumutbar zu bezeichnen ist.</w:t>
      </w:r>
    </w:p>
    <w:p>
      <w:r>
        <w:rPr>
          <w:b/>
        </w:rPr>
        <w:t>E. 8.6</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8.7</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 soweit darauf einzutreten ist.</w:t>
      </w:r>
    </w:p>
    <w:p>
      <w:r>
        <w:rPr>
          <w:b/>
        </w:rPr>
        <w:t>E. 10</w:t>
      </w:r>
    </w:p>
    <w:p>
      <w:r>
        <w:t>Den Akten zufolge erfolgte bisher keine Weitergabe von Daten des Beschwerdeführers an die Ukraine. Die Gesuche um Offenlegung der Datenweitergabe und um Anweisung der Unterlassung jeglicher Datenweitergabe an die ukrainischen Behörden sind mit vorliegendem Entscheid gegenstandslos geworden.</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16. September 2013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