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D-4504/2022 vom 24. Oktober 2022</w:t>
      </w:r>
    </w:p>
    <w:p>
      <w:r>
        <w:t>Bundesverwaltungsgericht, 2022-10-24, DE</w:t>
      </w:r>
    </w:p>
    <w:p>
      <w:r>
        <w:rPr>
          <w:b/>
        </w:rPr>
        <w:t xml:space="preserve">Quelle: </w:t>
      </w:r>
      <w:r>
        <w:t>https://mcp.opencaselaw.ch/entscheid/bvger_D-4504_2022</w:t>
      </w:r>
    </w:p>
    <w:p>
      <w:r>
        <w:t>FR: TAF D-4504/2022 du 24 octobre 2022</w:t>
      </w:r>
    </w:p>
    <w:p>
      <w:r>
        <w:t>IT: TAF D-4504/2022 del 24 ottobre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In formeller Hinsicht rügt der Beschwerdeführer eine Verletzung des Untersuchungsgrundsatzes sowie der Begründungspflicht. Obgleich er gesundheitlich stark angeschlagen sei und sich in medizinischer Behandlung befinde, habe die Vorinstanz keine weiteren Abklärungen getroffen. Insbesondere sei im Rahmen eines medizinischen Gutachtens zu klären, wie sich ein allfälliger Behandlungsunterbruch auf den Gesundheitszustand des Beschwerdeführers auswirke. Zudem habe sie nicht abgeklärt, ob weitere Behandlungstermine anstünden, zumal nach Abschluss des Asylverfahrens - wie dies vorliegend der Fall sei - in Frankreich keinerlei Zugang zu medizinischer Versorgung bestehe.</w:t>
      </w:r>
    </w:p>
    <w:p>
      <w:r>
        <w:rPr>
          <w:b/>
        </w:rPr>
        <w:t>E. 4.2</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BVGE 2012/21 E. 5.1). Unrichtig ist die Sachverhaltsfeststellung dann, wenn der Verfügung ein falscher und aktenwidriger oder nicht weiter belegbarer Sachverhalt zugrunde gelegt wurde. Unvollständig ist sie, wenn die Behörde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4.3</w:t>
      </w:r>
    </w:p>
    <w:p>
      <w:r>
        <w:t>Der Anspruch auf rechtliches Gehör (Art. 29 VwVG) umfasst als Mitwirkungsrecht sodann alle Befugnisse,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dagegen ist, dass sich die Begründung mit allen Parteistandpunkten einlässlich auseinandersetzt und jedes einzelne Vorbringen ausdrücklich widerlegt (vgl. BGE 143 III 65 E. 5.2).</w:t>
      </w:r>
    </w:p>
    <w:p>
      <w:r>
        <w:rPr>
          <w:b/>
        </w:rPr>
        <w:t>E. 4.4</w:t>
      </w:r>
    </w:p>
    <w:p>
      <w:r>
        <w:t>Die Einwände in der Beschwerdeschrift sind unbegründet. Die Vor-instanz hat nachvollziehbar und hinreichend differenziert aufgezeigt, dass sie sich mit sämtlichen zentralen Vorbringen des Beschwerdeführers sowie seinen medizinischen Akten auseinandergesetzt hat (vgl. A37/11). Gemäss ärztlichem Bericht vom 16. September 2022 wurde beim sich in einem leicht reduzierten Allgemeinzustand befindenden Beschwerdeführer eine HIV-1-Infektion mit opportunistischen Erkrankungen (namentlich schwere Soorösophagitis, Pneumozystitis-Pneumonie sowie Wasting Syndrom mit chronischer Diarrhoe) sowie eine COVID-19-Infektion diagnostiziert (vgl. A31/4). Während die HIV-Infektion seit dem 5. September 2022 kontinuierlich antiviral behandelt wird, wurde die medikamentöse Behandlung seiner übrigen Leiden am 1. September, 6. September respektive 14. September beendet. Am 28. September 2022 konsultierte der Beschwerdeführer Medic-Help und klagte über extreme Müdigkeit, wässrigen Stuhl, Schmerzen bei der Defäkation und Appetitlosigkeit. Gemäss Bericht von Medic-Help gleichen Datums waren sämtliche Untersuchungen ohne Befund und es wurde lediglich eine Bepanthen-Plus Salbe abgegeben sowie eine Laboruntersuchung angeordnet. Vor diesem Hintergrund musste sich die Vorinstanz nicht veranlasst sehen, weitere Abklärungen zum Gesundheitszustand vorzunehmen. Dass bis zum Urteilszeitpunkt lediglich ein weiterer medizinischer Bericht zu den Akten gereicht wurde - dem bloss zu entnehmen ist, der Beschwerdeführer habe am 10. Oktober 2022 einen sehr hohen Ferritinwert aufgewiesen und befinde sich aktuell im Spital - bestätigt denn auch diese Einschätzung. Mit Eingabe vom 18. Oktober 2022 und Verweis auf den der Eingabe beiliegenden Bericht vom 10. Oktober 2022 macht die rubrizierte Rechtsvertretung geltend, der Beschwerdeführer werde auch weiterhin stationär behandelt, weitere Unterlagen dazu lägen jedoch nicht vor. In Ermangelung anderweitiger Hinweise in den Akten ist entgegen diesen Ausführungen anzunehmen, dass es sich um eine kurzzeitige stationäre Untersuchung/Behandlung handelte. Wenn tatsächlich ein akuter Behandlungsbedarf bestünde und sich der Beschwerdeführer deshalb seit dem 10. Oktober 2022 ununterbrochen in stationärer Behandlung befunden hätte, müsste rund zwei Wochen nach Spitaleintritt zumindest eine Bestätigung seines Aufenthaltes vorliegen. Es ist entgegen der Beschwerdeschrift somit von einem ausreichend erstellten Sachverhalt auszugehen. Ebenfalls nicht zu beanstanden sind die Ausführungen zum Selbsteintritt. Allein aus dem Umstand, dass das SEM bei der Würdigung des Sachverhalts zu einem anderen Schluss gelangt, als vom Beschwerdeführer beziehungsweise seiner Rechtsvertreterin erhofft, lässt sich keine unrichtige oder unvollständige Feststellung des Sachverhalts oder eine Verletzung der Begründungspflicht ableiten. Nach dem Gesagten erweisen sich die formellen Rügen als unbegründet und die Sache ist nicht an die Vorinstanz zurückzuweisen.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Der Beschwerdeführer bestreitet nicht, sich vor der Einreise in die Schweiz in Frankreich aufgehalten und dort um Asyl nachgesucht zu haben. Nachdem die französischen Behörden am 22. September 2022 dem Wiederaufnahmegesuch der Vorinstanz zugestimmt haben, ist die Zuständigkeit Frankreichs grundsätzlich gegeben. Überdies räumt die Dublin-III-VO Schutzsuchenden kein Recht ein, den ihren Antrag prüfenden Staat selbst zu wählen (vgl. BVGE 2010/45 E. 8.3).</w:t>
      </w:r>
    </w:p>
    <w:p>
      <w:r>
        <w:rPr>
          <w:b/>
        </w:rPr>
        <w:t>E. 6.2</w:t>
      </w:r>
    </w:p>
    <w:p>
      <w:r>
        <w:t>Der diesbezügliche Antrag in der Beschwerdeschrift, die Vorinstanz sei anzuweisen, in die Akten A32/1, 33/1 und 34/1 Einsicht zu gewähren, ist abzuweisen. Wie in der Beschwerdeschrift denn bereits vermutet wird, handelt es sich bei vorgenannten Akten lediglich um nicht entscheidrelevante Rückfragen zwischen dem SEM und den französischen Behörden.</w:t>
      </w:r>
    </w:p>
    <w:p>
      <w:r>
        <w:rPr>
          <w:b/>
        </w:rPr>
        <w:t>E. 7.1</w:t>
      </w:r>
    </w:p>
    <w:p>
      <w:r>
        <w:t>Frankreich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Die Anwendung von Art. 3 Abs. 2 Dublin-III-VO ist demnach nicht gerechtfertigt.</w:t>
      </w:r>
    </w:p>
    <w:p>
      <w:r>
        <w:rPr>
          <w:b/>
        </w:rPr>
        <w:t>E. 8.1</w:t>
      </w:r>
    </w:p>
    <w:p>
      <w:r>
        <w:t>Der Beschwerdeführer fordert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8.2</w:t>
      </w:r>
    </w:p>
    <w:p>
      <w:r>
        <w:t>Der Beschwerdeführer hat kein konkretes und ernsthaftes Risiko dargetan, das darauf schliessen liesse, die französischen Behörden würden sich weigern, ihn aufzunehmen. Den Akten sind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Überführung erwartenden Bedingungen in Frankreich seien derart schlecht, dass sie zu einer Verletzung von Art. 4 der EU-Grundrechtecharta, Art. 3 und Art. 4 EMRK oder Art. 3 FoK führen könnten. Der Beschwerdeführer hat auch keine konkreten Hinweise für die Annahme dargetan, Frankreich würde ihm dauerhaft die ihm gemäss Aufnahmerichtlinie zustehenden minimalen Lebensbedingungen vorenthalten. Bei einer allfälligen vorübergehenden Einschränkung könnte er sich im Übrigen nötigenfalls an die französischen Behörden wenden und die ihm zustehenden Aufnahmebedingungen auf dem Rechtsweg einfordern (vgl. Art. 26 Aufnahmerichtlinie).</w:t>
      </w:r>
    </w:p>
    <w:p>
      <w:r>
        <w:rPr>
          <w:b/>
        </w:rPr>
        <w:t>E. 8.3.1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dürfte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8.3.2</w:t>
      </w:r>
    </w:p>
    <w:p>
      <w:r>
        <w:t>Eine solche Situation ist vorliegend nicht gegeben. Wie bereits dargelegt wurde beim Beschwerdeführer eine HIV-1-Infektion diagnostiziert, welche seit dem 5. September 2022 durch antivirale Medikamente behandelt wird (vgl. E. 4.4 hiervor und A30/8). Die mit vorgenannter Infektion einhergehenden opportunistischen Erkrankungen sowie die COVID-19-Infektion sind gemäss den Akten erfolgreich therapiert worden (vgl. E. 4.4 hiervor und A31/4). Alleine aufgrund der am 10. Oktober 2022 diagnostizierten Entzündungsanzeichen und der stationären Untersuchung/Behandlung gleichen Datums ist nicht auf einen akuten Behandlungsbedarf zu schliessen (vgl. E. 4.4 hiervor). Ohnehin ist allgemein bekannt, dass Frankreich über eine ausreichende medizinische Infrastruktur verfügt. Die Mitgliedstaaten sind verpflichtet, den Antragstellern die erforderliche medizinische Versorgung, die zumindest die Notversorgung und die unbedingt erforderliche Behandlung von Krankheiten, zugänglich zu machen (Art. 19 Abs. 1 Aufnahmerichtlinie); den Antragstellern mit besonderen Bedürfnissen ist die erforderliche medizinische oder sonstige Hilfe zu gewähren. Es liegen keine Hinweise vor, dass Frankreich dem Beschwerdeführer eine adäquate medizinische Behandlung verweigern würde. Die schweizerischen Behörden, die mit dem Vollzug der angefochtenen Verfügung beauftragt sind, werden denn auch den medizinischen Umständen bei der Bestimmung der konkreten Modalitäten der Überstellung des Beschwerdeführers Rechnung tragen (vgl. hierzu auch A36/1) und die französischen Behörden vorgängig in geeigneter Weise über die spezifischen medizinischen Umstände informieren (vgl. Art. 31 f. Dublin-III-VO).</w:t>
      </w:r>
    </w:p>
    <w:p>
      <w:r>
        <w:rPr>
          <w:b/>
        </w:rPr>
        <w:t>E. 8.4</w:t>
      </w:r>
    </w:p>
    <w:p>
      <w:r>
        <w:t>Insgesamt liegen somit keine zwingenden Gründe für eine Anwendung der Ermessensklauseln von Art. 17 Dublin-III-VO vor.</w:t>
      </w:r>
    </w:p>
    <w:p>
      <w:r>
        <w:rPr>
          <w:b/>
        </w:rPr>
        <w:t>E. 9.1</w:t>
      </w:r>
    </w:p>
    <w:p>
      <w:r>
        <w:t>Gemäss Praxis des Bundesverwaltungsgerichts verfügt das SEM bei der Anwendung der Kann-Bestimmung von Art. 29a Abs. 3 AsylV 1 über einen Ermessensspielraum (vgl. BVGE 2015/9 E. 7 f.). Das Gericht beschränkt die Überprüfung des vorinstanzlichen Verzichts der Anwendung von Art. 29a Abs. 3 AsylV 1 darauf, ob das SEM den Sachverhalt diesbezüglich korrekt und vollständig erhoben, allen wesentlichen Umständen Rechnung getragen und seinen Ermessensspielraum genutzt hat (Art. 106 Abs. 1 Bst. a und b AsylG).</w:t>
      </w:r>
    </w:p>
    <w:p>
      <w:r>
        <w:rPr>
          <w:b/>
        </w:rPr>
        <w:t>E. 9.2</w:t>
      </w:r>
    </w:p>
    <w:p>
      <w:r>
        <w:t>Auch unter diesem Blickwinkel ist die angefochtene Verfügung nicht zu beanstanden; insbesondere sind den Akten keine Hinweise auf einen Ermessensmissbrauch oder ein Über- respektive Unterschreiten des Ermessens zu entnehmen.</w:t>
      </w:r>
    </w:p>
    <w:p>
      <w:r>
        <w:rPr>
          <w:b/>
        </w:rPr>
        <w:t>E. 10</w:t>
      </w:r>
    </w:p>
    <w:p>
      <w:r>
        <w:t>Die Vorinstanz ist demnach zu Recht gestützt auf Art. 31a Abs. 1 Bst. b AsylG auf das Asylgesuch des Beschwerdeführers nicht eingetreten und hat zu Recht die Überstellung nach Frankreich angeordnet. Nach dem Gesagten ist die Beschwerde abzuweisen. Die Gesuche um Anordnung superprovisorischer Massnahmen, um Erteilung der aufschiebenden Wirkung sowie um Verzicht auf die Erhebung eines Kostenvorschusses sind mit dem vorliegenden Entscheid in der Sache gegenstandslos geworden.</w:t>
      </w:r>
    </w:p>
    <w:p>
      <w:r>
        <w:rPr>
          <w:b/>
        </w:rPr>
        <w:t>E. 11.1</w:t>
      </w:r>
    </w:p>
    <w:p>
      <w:r>
        <w:t>Das Gesuch um Gewährung der unentgeltlichen Prozessführung ist abzuweisen, da die Begehren - wie sich aus den vorstehenden Erwägungen ergibt - als aussichtslos zu bezeichnen sind (Art. 65 Abs. 1 VwVG).</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