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D-4503/2015 vom 2. September 2015</w:t>
      </w:r>
    </w:p>
    <w:p>
      <w:r>
        <w:t>Bundesverwaltungsgericht, 2015-09-02, DE</w:t>
      </w:r>
    </w:p>
    <w:p>
      <w:r>
        <w:rPr>
          <w:b/>
        </w:rPr>
        <w:t xml:space="preserve">Quelle: </w:t>
      </w:r>
      <w:r>
        <w:t>https://mcp.opencaselaw.ch/entscheid/bvger_D-4503_2015</w:t>
      </w:r>
    </w:p>
    <w:p>
      <w:r>
        <w:t>FR: TAF D-4503/2015 du 2 septembre 2015</w:t>
      </w:r>
    </w:p>
    <w:p>
      <w:r>
        <w:t>IT: TAF D-4503/2015 del 2 settembre 2015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Zürich 2008,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2 VwVG Parteistellung zukommt (vgl. BVGE 2008/15 E. 3.2, mit weiteren Hinweisen). Der Beschwerdeführer, der in der Schweiz ein Asylgesuch gestellt und durch seine Rechtsvertreterin wiederholt um Erlass eines entsprechenden Asylentscheids in Form einer anfechtbaren Verfügung ersucht hat,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des Beschwerdeführenden. Dieser muss darlegen, dass er zur Zeit der Beschwerdeeinreichung ein schutzwürdiges - mithin aktuelles und praktisches - Interesse an der Vornahme der verzögerten Amtshandlung respektive der Feststellung einer entsprechenden Rechtsverzögerung hat (vgl. Ursina Beerli-Bonorand, Die ausserordentlichen Rechtsmittel in der Verwaltungsrechtspflege des Bundes und der Kantone, Zürich 1985, S. 221 f.). Das schutzwürdige Interesse des Beschwerdeführers an der Vornahme der allenfalls verzögerten Amtshandlung manifestiert sich vorliegend in den bei den Akten liegenden Eingaben, mit welchen er um beförderliche Verfahrenserledigung ersuchen liess. Auf die Rechtsverzögerungsbeschwerde ist damit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alt Art. 70 Abs. 2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(vgl. BVGE 2008/15 E. 3.1.2 S. 193, mit weiteren Hinweisen).</w:t>
      </w:r>
    </w:p>
    <w:p>
      <w:r>
        <w:rPr>
          <w:b/>
        </w:rPr>
        <w:t>E. 3.1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173 f., mit weiteren Hinweisen).</w:t>
      </w:r>
    </w:p>
    <w:p>
      <w:r>
        <w:rPr>
          <w:b/>
        </w:rPr>
        <w:t>E. 3.2</w:t>
      </w:r>
    </w:p>
    <w:p>
      <w:r>
        <w:t>Von einer Rechtsverzögerung im Sinn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Ein Verschulden der Behörde an der Verzögerung wird nicht vorausgesetzt, weshalb sie das Rechtsverzögerungsverbot auch dann verletzt, wenn sie wegen Personalmangels oder Überlastung nicht innert angemessener Frist handelt (vgl. BGE 107 Ib 160 E. 3c, 103 V 190 E. 5.2). Spezialgesetzliche Behandlungsfristen sind bei der Beurteilung der Angemessenheit der Verfahrensdauer zu berücksichtigen.</w:t>
      </w:r>
    </w:p>
    <w:p>
      <w:r>
        <w:rPr>
          <w:b/>
        </w:rPr>
        <w:t>E. 4</w:t>
      </w:r>
    </w:p>
    <w:p>
      <w:r>
        <w:t>4.1 In der Beschwerde vom 21. Juli 2015 wird gerügt, das SEM habe das Asylverfahren seit der BzP im EVZ B._______ vom 20. Mai 2014 nicht weitergeführt. Die Schreiben vom 20. April 2015 und vom 18. Mai 2015 seien ebenso wenig behandelt worden wie die Eingabe vom 22. Juni 2015, in welchem die Einleitung einer Rechtsverzögerungsbeschwerde angedroht worden sei. Dies, obwohl aus dem Bericht der Beiständin klar hervorgehe, dass der Beschwerdeführer unter einer posttraumatischen Belastungsstörung leide und "das hängige Asylverfahren einen erschwerenden Unsicherheitsfaktor in dieser Situation mit sich bringe". Indem die Vor-instanz den Beschwerdeführer so lange in Ungewissheit über sein Verfahren lasse, trage sie der in der KRK enthaltenen Pflicht, das Wohl eines Kindes bei allen Massnahmen vorrangig zu berücksichtigen und den Schutz zu gewährleisten, der für das Wohlergehen notwendig sei, nicht ausreichend Rechnung (vgl. Beschwerde S. 3 f.).</w:t>
      </w:r>
    </w:p>
    <w:p>
      <w:r>
        <w:rPr>
          <w:b/>
        </w:rPr>
        <w:t>E. 4.2</w:t>
      </w:r>
    </w:p>
    <w:p>
      <w:r>
        <w:t>Gemäss Art. 29 Abs. 1 Bst. b AsylG hört das SEM die Asylsuchenden innerhalb von 20 Tagen nach dem Entscheid über die Zuweisung in den Kanton zu den Asylgründen an. Nach den vom Gesetzgeber per 1. Feb­ruar 2014 zusätzlich verschärften Behandlungsfristen für das erstinstanzliche Asylverfahren ist über Asylgesuche materiell in der Regel innerhalb von zehn Arbeitstagen nach der Gesuchstellung zu entscheiden (Art. 37 Abs. 2 AsylG).</w:t>
      </w:r>
    </w:p>
    <w:p>
      <w:r>
        <w:rPr>
          <w:b/>
        </w:rPr>
        <w:t>E. 4.3</w:t>
      </w:r>
    </w:p>
    <w:p>
      <w:r>
        <w:t>Das Bundesverwaltungsgericht stellt vorliegend nach Durchsicht der vorinstanzlichen Akten fest, dass seit der BzP des Beschwerdeführers im EVZ B._______ vom 20. Mai 2014 und der unmittelbar daran erfolgten Kantonszuweisung während mehr als einem Jahr keine verfahrensleitenden Handlungen seitens des BFM beziehungsweise des SEM mehr erfolgt sind. Sämtliche Ersuchen der Rechtsvertreterin um Beschleunigung des Asylverfahrens und auch die Androhung der Einleitung einer Rechtsverzögerungsbeschwerde blieben unbeantwortet. Die letzte den Akten zu entnehmende Amtshandlung datiert vom 21. Mai 2014, als der Beschwerdeführer vom BFM für den Aufenthalt während der Dauer des Asylverfahrens dem Kanton C._______ zugewiesen worden war.</w:t>
      </w:r>
    </w:p>
    <w:p>
      <w:r>
        <w:rPr>
          <w:b/>
        </w:rPr>
        <w:t>E. 4.4</w:t>
      </w:r>
    </w:p>
    <w:p>
      <w:r>
        <w:t>Dem Bundesverwaltungsgericht ist die hohe Arbeitslast des SEM auf die in der Vernehmlassung hingewiesen wird, bekannt, und es ist nicht nur nachvollziehbar, sondern aufgrund der Geschäftslast unvermeidbar, dass nicht jedes Asylverfahren innerhalb der gesetzlichen Behandlungsfristen abgeschlossen werden kann, was in der Formulierung von Art. 37 Abs. 2 AsylG ("in der Regel") zum Ausdruck kommt. Keine solche Relativierung kennt die Bestimmung von Art. 29 Abs. 1 AsylG betreffend die Frist zur Anhörung zu den Asylgründen, aber dennoch handelt es sich auch bei dieser Behandlungsfrist um eine blosse, bei Überschreitung nicht mit verfahrensrechtlichen Sanktionen verbundene Ordnungsfrist. Indessen vermag die grosse Geschäftslast die Untätigkeit des SEM seit der weit über ein Jahr zurückliegenden BzP nicht zu rechtfertigen. Mit dem Verweis auf die hohe Zahl neuer Asylgesuche eritreischer Staatsangehöriger und auf den Einsatz der Dolmetschenden in den EVZ vermag das SEM nicht stichhaltig zu begründen, inwiefern es wegen nicht selbst zu verantwortender Umstände nicht einmal in der Lage gewesen sein sollte, den Beschwerdeführer - dessen Anhörung zu den Asylgründen den Kernpunkt der Sachverhaltsfeststellung und damit die Grundlage für die rechtliche Analyse der Asylvorbringen bildet, und daher möglichst zeitnah zur Asylgesuchstellung erfolgen sollte - über den Grund der Verzögerung zu informieren. Erst recht lässt sich damit nicht begründen, wieso das SEM alle drei zwischen dem 20. April 2015 und dem 22. Juni 2015 erfolgten Anfragen und Ersuchen um Anhandnahme beziehungsweise Beschleunigung des Asylverfahrens unbeantwortet gelassen hat, wobei die in der Vernehmlassung vom 18. August 2015 diesbezüglich angebrachte Bemerkung, es handle sich "um ein einzelnes administratives Versäumnis", nicht gehört werden kann.</w:t>
      </w:r>
    </w:p>
    <w:p>
      <w:r>
        <w:rPr>
          <w:b/>
        </w:rPr>
        <w:t>E. 4.5</w:t>
      </w:r>
    </w:p>
    <w:p>
      <w:r>
        <w:t>Indem das SEM den offensichtlich psychisch belasteten, minderjährigen (und damit unter dem Schutz der KRK stehenden) Beschwerdeführer trotz wiederholter Nachfrage mehr als ein Jahr lang über den Fortgang des Verfahrens im Unklaren gelassen hat, hat es das Beschleunigungsverbot von Art. 29 Abs. 1 BV verletzt.</w:t>
      </w:r>
    </w:p>
    <w:p>
      <w:r>
        <w:rPr>
          <w:b/>
        </w:rPr>
        <w:t>E. 4.6</w:t>
      </w:r>
    </w:p>
    <w:p>
      <w:r>
        <w:t>Die Rüge der Rechtsverzögerung erweist sich damit als begründet und die Beschwerde ist gutzuheissen. Die Akten gehen an das BFM zurück, verbunden mit der Anweisung, das Asylverfahren des Beschwerdeführers beförderlich weiterzuführen und das Asylgesuch zügig einer anfechtbaren Verfügung zuzuführen.</w:t>
      </w:r>
    </w:p>
    <w:p>
      <w:r>
        <w:rPr>
          <w:b/>
        </w:rPr>
        <w:t>E. 5.1</w:t>
      </w:r>
    </w:p>
    <w:p>
      <w:r>
        <w:t>Bei diesem Ausgang des Verfahrens sind - ungeachtet dessen, dass das Bundesverwaltungsgericht mit Zwischenverfügung vom 5. August 2015 das Gesuch um Gewährung der unentgeltlichen Rechtspflege gutgeheissen hatte - keine Verfahrenskosten zu erheben (Art. 63 Abs. 1 und 2 VwVG).</w:t>
      </w:r>
    </w:p>
    <w:p>
      <w:r>
        <w:rPr>
          <w:b/>
        </w:rPr>
        <w:t>E. 5.2</w:t>
      </w:r>
    </w:p>
    <w:p>
      <w:r>
        <w:t>Dem Beschwerdeführer ist aufgrund seines Obsiegens in Anwendung von Art. 64 Abs. 1 VwVG eine Parteientschädigung für die ihm erwachsenen Vertretungskosten im Beschwerdeverfahren zuzusprechen. Die Rechtsvertreterin des Beschwerdeführers hat dem Bundesverwaltungsgericht eine Honorarnote zukommen lassen, in der sie einen als angemessen zu beurteilenden Vertretungsaufwand in der Höhe von Fr. 860.- (inkl. Auslagen und Mehrwertsteuer) geltend macht. Das SEM ist somit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