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D-4503/2013 vom 21. August 2013</w:t>
      </w:r>
    </w:p>
    <w:p>
      <w:r>
        <w:t>Bundesverwaltungsgericht, 2013-08-21, DE</w:t>
      </w:r>
    </w:p>
    <w:p>
      <w:r>
        <w:rPr>
          <w:b/>
        </w:rPr>
        <w:t xml:space="preserve">Quelle: </w:t>
      </w:r>
      <w:r>
        <w:t>https://mcp.opencaselaw.ch/entscheid/bvger_D-4503_2013</w:t>
      </w:r>
    </w:p>
    <w:p>
      <w:r>
        <w:t>FR: TAF D-4503/2013 du 21 août 2013</w:t>
      </w:r>
    </w:p>
    <w:p>
      <w:r>
        <w:t>IT: TAF D-4503/2013 del 21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das Stellen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6.1</w:t>
      </w:r>
    </w:p>
    <w:p>
      <w:r>
        <w:t>Der Beschwerdeführer wurde nicht zu seinem Asylgesuch befragt. Er hat seine Vorbringen jedoch bereits im Asylgesuch vom 21. Oktober 2011 dargelegt (vgl. Sachverhalt Bst. A). Zudem wurden ihm in der Folge mit Zwischenverfügung und Schreiben des BFM vom (...) und (...) Kataloge von für die vollständige Erstellung des rechtserheblichen Sachverhalts noch zu beantwortenden offenen Fragen zugestellt, wozu er am (...) und (...) schriftlich Stellung genommen hat (vgl. Sachverhalt Bst. B). Der entscheidwesentliche Sachverhalt erscheint angesichts der schriftlichen Darlegung der Asylgründe soweit erstellt, dass die entscheidrelevanten Elemente vorliegen.</w:t>
      </w:r>
    </w:p>
    <w:p>
      <w:r>
        <w:rPr>
          <w:b/>
        </w:rPr>
        <w:t>E. 6.2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7.1</w:t>
      </w:r>
    </w:p>
    <w:p>
      <w:r>
        <w:t>Das BFM führte zur Begründung seiner Verfügung im Wesentlichen aus, aus den Akten ergäben sich keine glaubhaft dargelegten Anhaltspunkte dafür, dass der Beschwerdeführer vor seiner Ausreise aus Eritrea ernstzunehmende Schwierigkeiten mit den heimatlichen Behörden gehabt hätte oder ihm solche drohen würden. Zwar sei nicht von vornherein auszuschliessen, dass er kurzzeitig in Haft gewesen sei. Aus der Tatsache, dass er bereits nach (...) wieder freigelassen worden sei - auch wenn eine Drittperson eine Bürgschaft geleistet habe - könne geschlossen werden, dass seitens der heimatlichen Behörden keine ernsthafte Verfolgungsabsicht vorhanden gewesen sei. Was die angebliche Verschleppung in I._______ - diesbezüglich lägen keinerlei Beweismittel vor - betreffe, handle es sich selbst bei angenommener Richtigkeit um kriminelle Akte Dritter. Ausserdem halte sich der Beschwerdeführer seit (...) Jahren in D._______ auf. D._______ habe die FK am 1. Oktober 1954 unterzeichnet sowie am 14. Juni 1968 deren Zusatzprotokolle. Grundsätzlich respektiere D._______ das Non-Refoulemant-Prinzip. Da der Beschwerdeführer in D._______ über effektiven Schutz vor einer Rückführung geniesse und sich legal in diesem Land aufhalten könne, verfüge er somit über die praktische Möglichkeit einer anderweitigen Schutzsuche. Zusammenfassend lägen keine glaubhaft dargelegten Anhaltspunkte dafür vor, dass der Beschwerdeführer vor der Ausreise aus dem Heimatstaat von einreiserelevanten Nachteilen bedroht worden sei, solche erlitten habe oder ein Aufenthalt in D._______ nicht zugemutet werden könnte. Er sei weder in Eritrea noch in D._______, wo er sich seit (...) Jahren aufhalte, offensichtlich gefährdet. Damit erübrige sich eine Prüfung der weiteren Voraussetzungen der Erteilung einer Einreisebewilligung im asylrechtlichen Auslandverfahren. Auch wenn davon ausgegangen werden könne, dass er seinen Heimatstaat illegal verlassen habe, handle es sich hierbei um einen subjektiven Nachfluchtgrund im Sinne von Art. 54 AsylG, weshalb gestützt darauf im Hinblick auf die auszusprechende Wegweisung keine Einreisebewilligung erteilt werden könne. Eine vorläufigen Aufnahme - auch als Flüchtling - setze aber immer eine Wegweisung voraus, weshalb die Erteilung einer Einreisebewilligung der gesetzlichen Logik widerspreche (vgl. BVGE 2011/10 E. 7). Zusammenfassend sei der Beschwerdeführer nicht schutzbedürftig im Sinne von Art. 3 AsylG.</w:t>
      </w:r>
    </w:p>
    <w:p>
      <w:r>
        <w:rPr>
          <w:b/>
        </w:rPr>
        <w:t>E. 7.2</w:t>
      </w:r>
    </w:p>
    <w:p>
      <w:r>
        <w:t>Die Beschwerde beschränkt sich sinngemäss auf eine Wiederholung der bisherigen Vorbringen. Zusätzlich wird unter Bezugnahme auf den eingereichten (...) ausgeführt, die Situation der afrikanischen Migranten in D._______ habe sich verschlechtert, wobei diesen die Rückführung in afrikanische Staaten drohe. Auch habe die Vorinstanz die Beziehungsnähe des Beschwerdeführers zur Schweiz nicht angemessen berücksichtigt, zumal dessen F._______ hier als Flüchtling vorläufig aufgenommen sei.</w:t>
      </w:r>
    </w:p>
    <w:p>
      <w:r>
        <w:rPr>
          <w:b/>
        </w:rPr>
        <w:t>E. 8</w:t>
      </w:r>
    </w:p>
    <w:p>
      <w:r>
        <w:t>Die Überprüfung der Akten ergibt, dass das BFM dem Beschwerdeführer zu Recht die Einreise in die Schweiz verweigert und das Asylgesuch abgelehnt hat.</w:t>
      </w:r>
    </w:p>
    <w:p>
      <w:r>
        <w:rPr>
          <w:b/>
        </w:rPr>
        <w:t>E. 8.1</w:t>
      </w:r>
    </w:p>
    <w:p>
      <w:r>
        <w:t>Vorweg ist - im Lichte der bereits erwähnten, neuen Praxis des Bundesverwaltungsgerichts besehen (vgl. vorstehend E. 5.3 bzw. BVGE 2012/26 E. 7 S. 519 f.) - zu prüfen, ob der Beschwerdeführer zum Zeitpunkt der Ausreise aus Eritrea einer Gefährdung im Sinne von Art. 3 Abs. 1 AsylG ausgesetzt war.</w:t>
      </w:r>
    </w:p>
    <w:p>
      <w:r>
        <w:rPr>
          <w:b/>
        </w:rPr>
        <w:t>E. 8.1.1</w:t>
      </w:r>
    </w:p>
    <w:p>
      <w:r>
        <w:t>Das BFM verneinte in der angefochtenen Verfügung das Bestehen einer Gefährdungssituation im Heimatstaat des Beschwerdeführers zu Recht (vgl. vorstehend E. 7.1). Zwar könnte im Zusammenhang mit einer an den Beschwerdeführer ergangenen Aufforderung, wegen seines geflüchteten F._______ ein Bussgeld zu zahlen, eine Reflexverfolgung nicht ausgeschlossen werden. Indes erscheint zunächst als kaum wahrscheinlich, dass eine solche Aufforderung erst mehr als (...) Jahre nach der Flucht des F._______s ergangen sein soll. Auch bei Wahrunterstellung dieses Vorbringens verneint das Bundesverwaltungsgericht - in Übereinstimmung mit der Vorinstanz - das Bestehen einer ernsthaften Verfolgungsabsicht, nachdem der Beschwerdeführer bereits (...) nach der Leistung einer Bürgschaft einer Drittperson freigelassen worden sein soll.</w:t>
      </w:r>
    </w:p>
    <w:p>
      <w:r>
        <w:rPr>
          <w:b/>
        </w:rPr>
        <w:t>E. 8.2</w:t>
      </w:r>
    </w:p>
    <w:p>
      <w:r>
        <w:t>Aufgrund der Akten ist indessen davon auszugehen, dass der Beschwerdeführer seinen Heimatstaat im Alter von (...) Jahren illegal, das heisst ohne behördliches Ausreisevisum, verlassen hat, weshalb ihm bei einer Rückkehr in den Heimatstaat eine Freiheitsstrafe von bis zu fünf Jahren drohen würde. Wie diesbezüglich bereits vorstehend unter E. 5.3 festgehalten, wäre dem Beschwerdeführer unter diesen Umständen die Einreise trotz allfälligen Bestehens der Flüchtlingseigenschaft und Beziehungsnähe zur Schweiz nicht zu bewilligen, da er aufgrund subjektiver Nachfluchtgründe vom Asyl auszuschliessen wäre (vgl. zu subjektiven Nachfluchtgründen BVGE 2009/29 E. 6.2-6.5 [Präzisierung der Rechtsprechung]; im eritreischen Kontext: Urteil des Bundesverwaltungsgerichts D-3892/2008 vom 6. April 2010 E.5.3-5.3.3).</w:t>
      </w:r>
    </w:p>
    <w:p>
      <w:r>
        <w:rPr>
          <w:b/>
        </w:rPr>
        <w:t>E. 8.3</w:t>
      </w:r>
    </w:p>
    <w:p>
      <w:r>
        <w:t>Zusammenfassend ist festzustellen, dass es dem Beschwerdeführer nicht gelungen ist, eine zum Zeitpunkt der Ausreise aus Eritrea aktuelle Verfolgung im Sinne von Art. 3 AsylG darzulegen. Da die drohende Verfolgung allein auf subjektive Nachfluchtgründe zurückzuführen ist, ist ihm die Einreisebewilligung zu verweigern und das Asylgesuch aus dem Ausland abzulehnen. Bei dieser Sachlage erübrigen sich weitere Erörterungen zum Schutz beziehungsweise zur Zumutbarkeit des Verbleibs im Drittstaat - in casu D._______ - und zu einer allfälligen Beziehungsnähe zur Schweiz. Es erübrigt sich auch, auf die weiteren Vorbringen in der Beschwerde und den Inhalt des Beweismittels einzugehen, da diese keine neuen Begründungselemente enthalten, welche geeignet wären, die Einschätzung des BFM entscheidend zu relativieren. Das BFM hat demnach dem Beschwerdeführer zu Recht die Einreise in die Schweiz verweigert und das Asylgesuch abgelehnt.</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Das Gesuch um Verzicht auf die Erhebung eines Kostenvorschusses wird durch das vorliegende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