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D-4503/2011 vom 28. Februar 2013</w:t>
      </w:r>
    </w:p>
    <w:p>
      <w:r>
        <w:t>Bundesverwaltungsgericht, 2013-02-28, IT</w:t>
      </w:r>
    </w:p>
    <w:p>
      <w:r>
        <w:rPr>
          <w:b/>
        </w:rPr>
        <w:t xml:space="preserve">Quelle: </w:t>
      </w:r>
      <w:r>
        <w:t>https://mcp.opencaselaw.ch/entscheid/bvger_D-4503_2011</w:t>
      </w:r>
    </w:p>
    <w:p>
      <w:r>
        <w:t>FR: TAF D-4503/2011 du 28 février 2013</w:t>
      </w:r>
    </w:p>
    <w:p>
      <w:r>
        <w:t>IT: TAF D-4503/2011 del 28 febbraio 2013</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Il Tribunale tiene conto della situazione nel Paese di 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DTAF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DTAF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pagg. 447 segg.; Mario Gattiker, La procédure d'asile et de renvoi, Berna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2.3; GICRA 2005 n. 21 consid. 6.1 e GICRA 1995 n. 23).</w:t>
      </w:r>
    </w:p>
    <w:p>
      <w:r>
        <w:rPr>
          <w:b/>
        </w:rPr>
        <w:t>E. 5.1</w:t>
      </w:r>
    </w:p>
    <w:p>
      <w:r>
        <w:t>Nella querelata decisione, l'UFM ha considerato le dichiarazioni fornite dall'interessata nell'ambito della sua domanda d'asilo contrarie ai risultati delle verifiche compiute dall'Ambasciata sul posto e inverosimili. Infatti ella avrebbe dichiarato di essere partita dallo Sri Lanka in data (...) 2010 a destinazione di P._______ e di essersi finanziata il viaggio con il ricavato della vendita della casa, che il marito avrebbe concluso il (...) 2009. Inoltre l'interessata avrebbe aggiunto di non avere mai posseduto un passaporto. Queste dichiarazioni sarebbero tuttavia in chiaro contrasto con le informazioni del 30 maggio 2011 dell'Ambasciata, secondo cui la ricorrente avrebbe al contrario posseduto un passaporto e lo avrebbe utilizzato per il suo viaggio, partendo il (...) 2009 munita di un visto di lavoro di 180 giorni rilasciato dall'Ambasciata (...), a destinazione di Q._______. L'UFM ha ritenuto che le spiegazioni da ella fornite nell'ambito della concessione del diritto di esprimersi, secondo cui avrebbe mentito seguendo i consigli ricevuti dai membri delle LTTE che le avrebbero organizzato il viaggio di espatrio, non giustificherebbero le incongruenze. Infatti, se la casa è stata venduta il (...) 2009, mal si capirebbe come sia stato possibile, con il ricavato, pagare un viaggio intrapreso il giorno precedente. Peraltro non convincerebbe nemmeno la rapidità con la quale sarebbe stato trovato un acquirente. Infatti sarebbe poco plausibile che, dopo una prima visita delle forze dell'ordine il (...) 2009, ella sia riuscita, nell'arco di tre giorni, a decidere di vendere la casa e a concludere l'affare. Infine sarebbe poco comprensibile la ragione di un simile accanimento delle forze dell'ordine nei confronti dell'interessata invece che nei confronti del marito. Per queste ragioni l'UFM ha ritenuto che il racconto della richiedente non soddisfasse le condizioni di verosimiglianza di cui all'art. 7 LAsi, pertanto non le ha riconosciuto la qualità di rifugiato ai sensi dell'art. 3 LAsi e di conseguenza non le ha concesso l'asilo.</w:t>
      </w:r>
    </w:p>
    <w:p>
      <w:r>
        <w:rPr>
          <w:b/>
        </w:rPr>
        <w:t>E. 5.2</w:t>
      </w:r>
    </w:p>
    <w:p>
      <w:r>
        <w:t>Nel ricorso l'insorgente si riallaccia a quanto già esposto nel suo scritto del 22 giugno 2011, dove ha confermato la correttezza delle ricerche effettuate dall'Ambasciata sul posto e ha spiegato di avere in un primo tempo mentito in quanto così le avrebbero consigliato di fare i membri delle LTTE che le avrebbe organizzato il viaggio. Tuttavia sostiene che l'UFM si sarebbe fondato su un accertamento incompleto e inesatto dei fatti rilevanti nell'ambito dell'esame della sua domanda d'asilo: in particolare non avrebbe dato la giusta considerazione alle sue spiegazioni fornite a seguito dei risultati dell'Ambasciata e nemmeno l'avrebbe convocata per una nuova audizione, contrariamente a quanto da lei suggerito nello scritto del 22 giugno 2011. L'insorgente evidenzia inoltre che la summenzionata dichiarazione del notaio di G._______ attesterebbe l'avvenuta vendita della casa in data (...) 2009.</w:t>
      </w:r>
    </w:p>
    <w:p>
      <w:r>
        <w:rPr>
          <w:b/>
        </w:rPr>
        <w:t>E. 5.3</w:t>
      </w:r>
    </w:p>
    <w:p>
      <w:r>
        <w:t>Nelle sue osservazioni del 19 ottobre 2011, l'autorità inferiore ha ritenuto che per quanto concerne i documenti prodotti contenenti delle dichiarazioni provenienti da terze persone, il valore probatorio sarebbe limitato in quanto si tratterebbe di affermazioni di parte e non rilasciate da un'autorità. In merito alla dichiarazione scritta del notaio di G._______, il quale si sarebbe occupato della transazione della vendita della casa, l'autorità inferiore spiega di non contestare l'eventuale vendita della casa, bensì le circostanze in cui questa sarebbe stata conclusa, evidenziando che per di più non si tratterebbe dell'atto di vendita ma di una semplice dichiarazione emessa dal notaio. Per quanto attiene poi al verbale della stazione di polizia di G._______, questo non farebbe che dimostrare che le autorità srilankesi agiscano in favore dei loro cittadini. Infine, circa l'osservazione dell'insorgente secondo cui avrebbe dovuto avere luogo un'ulteriore audizione al fine di chiarire i motivi che l'avrebbero indotta a mentire circa le circostanze esatte dell'espatrio, l'UFM ha ritenuto che il diritto di esprimersi concessole per iscritto fosse una misura adeguata e sufficiente.</w:t>
      </w:r>
    </w:p>
    <w:p>
      <w:r>
        <w:rPr>
          <w:b/>
        </w:rPr>
        <w:t>E. 6.1</w:t>
      </w:r>
    </w:p>
    <w:p>
      <w:r>
        <w:t>Questo Tribunale osserva che, come rettamente ritenuto dall'autorità inferiore, le dichiarazioni dell'interessata circa i suoi motivi d'asilo sono in contrasto con i risultati delle ricerche effettuate in loco e nell'insieme non sono plausibili, pertanto vanno ritenute inverosimili. In primo luogo va osservato che una parte considerevole del racconto è chiaramente smentita dalle informazioni dall'Ambasciata. Infatti, in sede di audizione la richiedente ha dichiarato di non avere mai richiesto né posseduto un passaporto e di essere espatriata il (...) 2010, viaggiando con una falsa identità, partendo dall'aeroporto di Colombo a destinazione di P._______ (cfr. verbale 1, pagg. 5 e 7 seg. e verbale 2, pagg. 5 seg.). Secondo i dati raccolti dall'Ambasciata, invece, ella sarebbe titolare di un passaporto, con il quale avrebbe lasciato il Paese già il (...) 2009 a destinazione di Q._______, munita di un visto di lavoro di 180 giorni rilasciato dall'Ambasciata (...). Circa l'allegazione ricorsuale secondo cui l'UFM si sarebbe fondato su un accertamento incompleto e inesatto dei fatti rilevanti in quanto non avrebbe, tra l'altro, convocato la richiedente per una nuova audizione dopo l'ottenimento delle informazioni dell'Ambasciata, il Tribunale si associa alla posizione dell'Ufficio secondo cui il diritto di esprimersi concessole per iscritto fosse una misura adeguata e sufficiente. Infatti se ella avesse avuto ulteriori giustificazioni da esporre, mal si capisce la ragione per cui non abbia potuto indicarle nel suo scritto del 22 giugno 2011. Il Tribunale osserva inoltre che la versione dei fatti fornita dalla richiedente in reazione ai risultati delle ricerche sul posto, rispettivamente nell'atto ricorsuale, non convinca. Infatti risulta essere un adeguamento sviluppato appositamente in maniera da poter integrare nel racconto le informazioni accertate dall'Ambasciata, modificando quindi, rispetto alla prima versione, in particolare gli elementi concernenti le modalità dell'espatrio, mantenendo però invariati i rimanenti aspetti. In concreto, nella nuova versione ella ha reiterato le dichiarazioni circa il pernottamento del cognato e dell'amico dal (...) al (...) 2009 nonché le ispezioni dei militari cingalesi presso la sua abitazione, in sua assenza, il (...) e il (...) 2009, per poi però anticipare l'asserita vendita della casa già allo stesso (...) e il volo di espatrio al (...), in linea con le indicazioni dell'Ambasciata. L'insieme del racconto risultante da tale arrangiamento non può essere ritenuto plausibile, in quanto ciò significherebbe che dopo avere preso la decisione, il (...), di fuggire e quindi di vendere la casa, sarebbe riuscita a trovare un acquirente il giorno stesso e a incassare immediatamente la considerevole somma di (...) rupie (l'equivalente di circa [...] CHF), per poi già espatriare il giorno seguente. Il Tribunale, pur non escludendo un'effettiva vendita della casa in data (...) 2009, ritiene che un tale svolgimento dei fatti sia inverosimile. In aggiunta, un elemento centrale a detrimento della verosimiglianza dei fatti addotti è il fatto che l'interessata abbia lasciato il Paese munita del suo passaporto. Infatti se davvero avesse avuto ragione di temere per la sua vita in quanto nel mirino delle forze dell'ordine, non è plausibile che si sia apprestata a lasciare il Paese senza intraprendere alcunché per nascondere la sua identità alla sicurezza. Peraltro dagli atti non risulta che ella, presentandosi con la sua vera identità, abbia avuto dei problemi nell'ambito dei controlli. In merito inoltre alle dichiarazioni scritte del membro del parlamento srilankese N._______ e del prete del tempio hindu a sostegno delle asserzioni della richiedente, questo Tribunale osserva che, come rettamente già ritenuto dall'autorità inferiore, si tratta di dichiarazioni di parte e peraltro in una certa misura redatte sulla sola base di quanto dichiarato dall'interessata. Per quanto concerne il verbale della stazione di polizia attestante le dichiarazioni della suocera, va constatato che si tratta di uno scritto basato unicamente sulle dichiarazioni - di parte - di quest'ultima. Inoltre il Tribunale non può che confermare la logica osservazione dell'UFM secondo cui la stesura a verbale, da parte della polizia, di tali dichiarazioni, non può che dimostrare che le autorità del posto si adoperano in favore dei propri cittadini; se la ricorrente avesse effettivamente avuto dei problemi con le forze dell'ordine, è difficilmente immaginabile che la suocera si sarebbe recata presso le stesse autorità. Infine il Tribunale ritiene che la verosimiglianza dai fatti addotti sarebbe anche compromessa dal fatto che i suoi figli rimasti in patria non sarebbero incorsi in alcun problema a causa della sua partenza (cfr. verbale 2, pag. 8).</w:t>
      </w:r>
    </w:p>
    <w:p>
      <w:r>
        <w:rPr>
          <w:b/>
        </w:rPr>
        <w:t>E. 6.2</w:t>
      </w:r>
    </w:p>
    <w:p>
      <w:r>
        <w:t>Per il resto, circa i fatti addotti di cui sotto, il Tribunale considera che questi non sono rilevanti ai sensi dell'art. 3 LAsi. Nel concreto, quo alla situazione vigente nello Sri Lanka, il Tribunale ha rilevato un chiaro miglioramento della situazione nel Paese dal profilo della sicurezza e della stabilità da quando è terminato il conflitto militare nel maggio del 2009 (cfr. sulla tematica DTAF 2011/24). Dopo la soccombenza militare delle LTTE possono essere considerati cessati anche gli atti persecutori da parte di esse. La fine del conflitto ha poi permesso a centinaia di migliaia di rifugiati interni (IDPs = Internally Displaced Persons), in campi profughi, di fare rientro ai propri villaggi (cfr. U.S. Departement of State, 2009 Human Rights Report: Sri Lanka; Danish Immigration Service, Human Rights and Security Issues concerning Tamils in Sri Lanka, ottobre 2010) e anche la libertà di movimento, grazie all'apertura dei campi, è aumentata. In generale, la situazione nello Sri Lanka si è dunque stabilizzata e le condizioni di vita sono migliorate e stanno migliorando progressivamente in tutto il Paese soprattutto nelle regioni del nord e dell'est, territori precedentemente occupati dalle LTTE durante la guerra civile (cfr. DTAF 2011/24, consid. 7.1-7.6). Non di meno, il Tribunale ha ritenuto che nonostante i cambiamenti intervenuti nel Paese, alcuni gruppi di persone siano a tuttora esposti a rischi di persecuzione in caso di rimpatrio. Si tratta di persone particolarmente esposte, quali oppositori politici, ossia persone che anche dopo la fine della guerra civile restano sospettate di legami con le LTTE o di essere sostenitori dell'ex capo dell'esercito Fonseka (cfr. ibidem, consid. 8.1), segnatamente giornalisti e attivisti dei diritti umani critici nei confronti del regime (cfr. ibidem, consid. 8.2), le vittime o i testimoni di gravi violazioni dei diritti umani (cfr. ibidem, consid. 8.3), oltre che le persone rientranti dalla Svizzera sospettati di avere avuto contatti con esponenti di spicco delle LTTE, come anche le persone che dispongono d'importanti mezzi finanziari (cfr. ibidem, consid. 8.4 e 8.5). In casu, non emergono elementi tali da ritenere che l'interessata rientri nel novero dei profili a rischio sopra esposti. Il Tribunale non ritiene che le vicende legate al marito possano giustificare, per la ricorrente, un timore fondato di persecuzioni future. Infatti, stando alle dichiarazioni dell'interessata, dopo essere stato interrogato al campo militare di G._______, egli sarebbe stato rilasciato alla condizione di presentarsi settimanalmente a firmare il registro (cfr. verbale 1, pag. 6 e verbale 2, pag. 4). Il Tribunale ritiene che, visto il facile rilascio, egli non doveva certo essere considerato un esponente delle LTTE. Anche il documento circa la permanenza del marito al campo profughi e il successivo rilascio, come pure la tessera per la distribuzione delle razioni alimentari, non contengono elementi tali da indurre il Tribunale a una diversa conclusione, come neppure le fotografie del cognato deceduto in battaglia e di un altro cognato "scomparso", considerata peraltro la fine del conflitto nel maggio del 2009. Come poi già menzionato, ella stessa ha dichiarato che i figli in patria non riscontrerebbero particolari problemi (cfr. verbale 2, pag. 8). Alla luce di quanto precede, ne deriva che, nei limiti della verosimiglianza, i fatti addotti dalla ricorrente nella presente procedura d'asilo non sono propri a motivare la qualità di rifugiato ai sensi dell'art. 3 LAsi. Su questo punto, la decisione impugnata va pertanto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44 cpv. 2 LAsi e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Walter Stöckli, Asyl, in Übersax/Rudin/Hugi/Yar/Geiser [Hrsg.], Ausländerrecht, 2ª ed., Basilea 2009, n. 11.148, pagg. 567 seg.). Inoltre, lo stato di fatto determinante in materia di esecuzione dell'allontanamento è quello che esiste al momento in cui si statuisce (cfr. DTAF 2009/51 consid. 5.4).</w:t>
      </w:r>
    </w:p>
    <w:p>
      <w:r>
        <w:rPr>
          <w:b/>
        </w:rPr>
        <w:t>E. 8.1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GICRA 2005 n. 4 consid. 6.2 e GICRA 1996 n. 18 consid. 14b lett. ee). In casu, giova anzitutto ricordare che nella misura in cui codesto Tribunale ha confermato la decisione dell'UFM relativa alla domanda d'asilo della ricorrente, quest'ultima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esposta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La Corte EDU si è ripetutamente chinata sulla questione di un'eventuale rischio di trattamenti contrari alle disposizioni della CEDU per i Tamil che da un Paese europeo fanno rientro nello Sri Lanka. A questo riguardo, la Corte ha ritenuto che non vi sia da partire dal principio che ogni Tamil di rientro in patria corra il rischio di essere sottoposto a trattamenti inumani. Occorrerebbe infatti analizzare, invece, se nel caso di specie e alla luce di diversi fattori, vi sia da ritenere che l'interessata possa a giusto titolo temere che le autorità in patria possano avere interesse ad arrestarla o a interrogarla. Quali principali fattori di rischio, la Corte EDU cita in particolare la registrazione quale membro - sospetto o certo - delle LTTE, l'esistenza di una precedente condanna o di un ordine di arresto pendente, la fuga dal carcere o da oneri su cauzione, la firma di un'ammissione di colpevolezza o di simili documenti, il reclutamento quale confidente delle forze di sicurezza, la presenza sul corpo di cicatrici, il rientro nello Sri Lanka da Londra o da un'altra ubicazione nota quale centro di finanziamento delle LTTE, l'assenza di documenti d'identità, la deposizione di una domanda d'asilo all'estero o il legame di parentela con un membro delle LTTE. Allo stesso tempo la Corte ha sostenuto che questi fattori, considerati singolarmente, non sono di regola atti a costituire un "real risk". Tuttavia questa soglia potrebbe essere raggiunta nell'ambito di una valutazione d'insieme, prendendo in considerazione anche la situazione generale vigente al momento nel Paese (cfr. DTAF 2011/24, consid. 10.4.2 con relativi riferimenti). Per quanto attiene ai menzionati fattori di rischio nella fattispecie, nell'ambito di una valutazione d'insieme, secondo il Tribunale non vi è da ritenere, nonostante la ricorrente abbia chiesto asilo all'estero, che la soglia per ammettere un "real risk" sia raggiunta. A questo riguardo, al fine di evitare ripetizioni, si rinvia alle considerazioni suesposte circa l'analisi relativa all'adempimento della qualità di rifugiato (consid. 6.2). Pertanto, come rettamente ritenuto nel giudizio litigioso, l'esecuzione dell'allontanamento è ammissibile ai sensi delle norme di diritto pubblico internazionale nonché della LAsi.</w:t>
      </w:r>
    </w:p>
    <w:p>
      <w:r>
        <w:rPr>
          <w:b/>
        </w:rPr>
        <w:t>E. 8.2</w:t>
      </w:r>
    </w:p>
    <w:p>
      <w:r>
        <w:t>Giusta l'art. 83 cpv. 4 LStr, al quale rinvia l'art. 44 cpv. 2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DTAF 2009/51 consid. 5.5 e DTAF 2009/2 consid. 9.2.1). Si tratta dunque di esaminare, con riferimento ai criteri suesposti, se l'interessata conclude a giusta ragione o meno al carattere inesigibile dell'esecuzione del suo allontanamento, tenuto conto della situazione generale vigente attualmente nello Sri Lanka, da un lato, e della sua situazione personale, dall'altro. Nello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e delle condizioni di vita in generale in detto Paese, un ritorno è ora di principio ragionevolmente esigibile anche verso il nord nonché verso l'est. L'esecuzione dell'allontanamento per i richiedenti l'asilo respinti è quindi ora da considerarsi di principio ragionevolmente esigibile verso tutto il Paese, ad eccezione delle persone che provengono dalla regione di Vanni e che non dispongono di una rete sociale al di fuori di detta regione (cfr. DTAF 2011/24 consid. 11.2.2).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presenti al momento dell'espatrio e se nel caso di specie non si pongono particolari problemi circa il rientro (cfr. ibidem, consid. 13.2.1.1) - e quelle che hanno lasciato il nord del Paese prima della fine della guerra o per le quali dagli atti si evince che le condizioni di vita potrebbero essere profondamente cambiate. Per queste persone è infatti necessario analizzare la situazione individualmente, verificando le attuali condizioni di vita e di alloggio. A questo riguardo il Tribunale ritiene che siano essenziali l'esistenza di una rete sociale e la possibilità di assicurarsi un alloggio nonché il minimo vitale. Se tali condizioni non fossero realizzate, va esaminata la possibilità di un'alternativa di soggiorno interna sul territorio nazionale, in particolare nella regione di Colombo, dove l'esecuzione dell'allontanamento è di principio esigibile (cfr. ibidem, consid. 13.2.1.2 e 13.3). Nel caso in esame la ricorrente ha dichiarato di avere in un primo tempo vissuto a E._______ e in seguito, dal (...) fino al momento dell'espatrio, avvenuto nel (...) del 2009 e quindi dopo la fine del conflitto, a F._______ (cfr. verbale 1, pagg. 1 seg.); entrambe le località si trovano nel distretto di Mannar e al di fuori della regione di Vanni (per la delimitazione della regione di Vanni cfr. DTAF 2010/44 consid. 13.2.2.1). Il Tribunale osserva che la richiedente dispone in patria di una solida rete sociale. Infatti a F._______ abitano suo marito nonché i suoceri e poco lontano, a E._______, vivono la madre e, da quando l'interessata è espatriata, anche i figli. Inoltre a G._______ abitano tre sorelle e gli zii paterni. Ella è scolarizzata ed è stata mantenuta dapprima dai genitori e, da quando si è sposata, dal marito (cfr. verbale 1, pagg. 2-4). Il Tribunale ritiene quindi che la richiedente in caso di ritorno nel suo Paese sarà in grado di assicurarsi un alloggio nonché il minimo vitale. Infatti, anche partendo dal presupposto che la casa sia effettivamente stata venduta, ella potrà trovare alloggio ad esempio presso la famiglia di suo marito a F._______ oppure da sua madre a E._______, dove ora alloggerebbero peraltro, come menzionato, anche i suoi figli. Dagli atti non traspare inoltre alcun elemento tale da indurre a concludere a delle eventuali difficoltà finanziare delle due rispettive famiglie. Il Tribunale ritiene quindi che ella potrà ricevere il necessario sostentamento dal marito, di professione (...), come prima dell'espatrio. Infine la ricorrente è da ritenersi in buona salute, dato che non ha preteso nel gravame di soffrire di gravi problemi di salute tali da giustificare un'ammissione provvisoria, senza che da un esame d'ufficio degli atti di causa emerga la necessità di una sua permanenza in Svizzera per motivi medici (cfr. DTAF 2009/2 consid. 9.3.2). Di conseguenza, l'esecuzione dell'allontanamento della ricorrente deve essere considerata ragionevolmente esigibile.</w:t>
      </w:r>
    </w:p>
    <w:p>
      <w:r>
        <w:rPr>
          <w:b/>
        </w:rPr>
        <w:t>E. 8.3</w:t>
      </w:r>
    </w:p>
    <w:p>
      <w:r>
        <w:t>Non risultano impedimenti neppure dal profilo della possibilità dell'esecuzione dell'allontanamento (art. 83 cpv. 2 LStr). Infatti, la ricorrente, usando della dovuta diligenza potrà procurarsi ogni documento necessario al rimpatrio. L'esecuzione dell'allontanamento è dunque pure possibile.</w:t>
      </w:r>
    </w:p>
    <w:p>
      <w:r>
        <w:rPr>
          <w:b/>
        </w:rPr>
        <w:t>E. 8.4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prima istanza non ha accertato in modo inesatto o incompleto i fatti giuridicamente rilevanti e la decisione non è inadeguata (art. 106 LAsi), per il che il ricorso va respinto.</w:t>
      </w:r>
    </w:p>
    <w:p>
      <w:r>
        <w:rPr>
          <w:b/>
        </w:rPr>
        <w:t>E. 10</w:t>
      </w:r>
    </w:p>
    <w:p>
      <w:r>
        <w:t>Visto l'esito della procedura, le spese processuali che seguono la soccombenza sono poste a carico della ricorrente (art. 63 cpv. 1 e 5 PA nonché art. 3 lett. b del regolamento sulle tasse e sulle spese ripetibili nelle cause dinanzi al Tribunale amministrativo federale del 21 febbraio 2008 [TS-TAF, RS 173.320.2]). In casu, non essendo state le conclusioni ricorsuali, al momento dell'inoltro del gravame ed in precedenza allo sviluppo della giurisprudenza di questo Tribunale (cfr. DTAF 2011/24), senz'altro sprovviste di possibilità di esito favorevole e considerato che, sulla base delle circostanze del caso di specie, si può concludere allo stato d'indigenza dell'insorgente senza ulteriori accertamenti, vi è luogo di accogliere l'istanza di assistenza giudiziaria nel senso della dispensa dal pagamento delle spese di giustizia.</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