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D-449/2024 vom 20. Dezember 2023</w:t>
      </w:r>
    </w:p>
    <w:p>
      <w:r>
        <w:t>Bundesverwaltungsgericht, 2023-12-20, DE</w:t>
      </w:r>
    </w:p>
    <w:p>
      <w:r>
        <w:rPr>
          <w:b/>
        </w:rPr>
        <w:t xml:space="preserve">Quelle: </w:t>
      </w:r>
      <w:r>
        <w:t>https://mcp.opencaselaw.ch/entscheid/bvger_D-449_2024_d20231220</w:t>
      </w:r>
    </w:p>
    <w:p>
      <w:r>
        <w:t>FR: TAF D-449/2024 du 20 décembre 2023</w:t>
      </w:r>
    </w:p>
    <w:p>
      <w:r>
        <w:t>IT: TAF D-449/2024 del 20 dicembre 2023</w:t>
      </w:r>
    </w:p>
    <w:p>
      <w:pPr>
        <w:pStyle w:val="Heading2"/>
      </w:pPr>
      <w:r>
        <w:t>Regeste</w:t>
      </w:r>
    </w:p>
    <w:p>
      <w:r>
        <w:t>Asyl und Wegweisung | Asyl und Wegweisung; Verfügung des SEM vom 20. Dezember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begründet und ist im Verfahren einzelrichterlicher Zustän- digkeit mit Zustimmung eines zweiten Richters beziehungsweise einer zweiten Richterin (Art. 111 Bst. e AsylG), ohne Weiterungen und mit sum- marischer Begründung zu behandeln (Art. 111a Abs. 1 und 2 AsylG).</w:t>
      </w:r>
    </w:p>
    <w:p>
      <w:r>
        <w:rPr>
          <w:b/>
        </w:rPr>
        <w:t>E. 4.1</w:t>
      </w:r>
    </w:p>
    <w:p>
      <w:r>
        <w:t>In der Beschwerde werden verschiedene formelle Rügen (Verletzung des Anspruchs auf rechtliches Gehör inklusive der Begründungspflicht so- wie unrichtige und unvollständige Feststellung des rechtserheblichen Sachverhalts) erhoben. Sie sind vorab zu beurteilen, da sie gegebenenfalls geeignet sind, eine Kassation der vorinstanzlichen Verfügung zu bewirken (vgl. EMARK 2004 Nr. 38).</w:t>
      </w:r>
    </w:p>
    <w:p>
      <w:r>
        <w:rPr>
          <w:b/>
        </w:rPr>
        <w:t>E. 4.2</w:t>
      </w:r>
    </w:p>
    <w:p>
      <w:r>
        <w:t>Gemäss Art. 29 VwVG haben die Parteien Anspruch auf rechtliches Gehör, welcher als Mitwirkungsrecht alle Befugnisse umfasst, die einer</w:t>
      </w:r>
    </w:p>
    <w:p>
      <w:r>
        <w:t>D-449/2024 Seite 5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Mit dem Kassationsurteil D-1811/2022 vom 23. Februar 2023 wurde – wie bereits erwähnt – darauf erkannt, dass das SEM gehalten gewesen wäre, sich mit den Fluchtgründen auseinanderzusetzen (vgl. a.a.O. E. 3.3). Erklärtermassen ist das SEM dieser Aufforderung in der neu ergangenen und vorliegend angefochtenen Verfügung vom 18. Dezember 2023 nicht nachgekommen und liess die Frage der Flüchtlingseigenschaft explizit of- fen. Indessen erweist sich die vom SEM angerufene Rechtsprechung, wie der Beschwerdeführer zu Recht rügt (vgl. Beschwerde Ziff. 2.1.1), als nicht einschlägig. Einerseits ist dem Beschwerdeführer zuzustimmen, dass sich die zitierte EMARK-Rechtsprechung auf altes Recht stützt, die Nichteintre- tenstatbestände nunmehr abschliessend in Art. 31a AsylG geregelt sind und das SEM vorliegend gerade eben auf das Asylgesuch eingetreten ist. Andererseits ist dem Beschwerdeführer beizupflichten, dass es sich beim zitierten Urteil des Bundesverwaltungsgerichts um einen anders gelager- ten Fall handelt, welcher sich zwar auf ein binationales Paar bezieht, aber in welchem eine asylrechtliche Gefährdung im jeweiligen Heimatstaat durchaus geprüft wurde. Folglich hat sich das SEM zu Unrecht respektive mit unzureichender und unzutreffender Begründung über das Kassations- urteil hinweggesetzt und damit das rechtliche Gehör des Beschwerdefüh- rers ein zweites Mal verletzt sowie den rechtserheblichen Sachverhalt</w:t>
      </w:r>
    </w:p>
    <w:p>
      <w:r>
        <w:t>D-449/2024 Seite 6 abermals unvollständig abgeklärt. Die entsprechenden Rügen erweisen sich als begründet.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 ben praxisgemäss jene Fälle, in denen die Verletzung nicht besonders schwer wiegt und dadurch geheilt werden kann, dass die Partei sich vor einer Instanz äussern kann, die sowohl Tat- als auch Rechtsfragen unein- geschränkt überprüft (vgl. BVGE 2008/47 E. 3.3.4).</w:t>
      </w:r>
    </w:p>
    <w:p>
      <w:r>
        <w:rPr>
          <w:b/>
        </w:rPr>
        <w:t>E. 5.2</w:t>
      </w:r>
    </w:p>
    <w:p>
      <w:r>
        <w:t>Vorliegend kommt eine Heilung auf Beschwerdeebene schon deshalb nicht in Betracht, weil es das SEM trotz ausdrücklicher Aufforderung im Kassationsurteil versäumt hat, die festgestellten formellen Rechtsverlet- zungen zu korrigieren. Im Übrigen ist die Überprüfungsbefugnis des Bun- desverwaltungsgerichts nach Art. 106 Abs. 1 AsylG ohnehin einge- schränkt.</w:t>
      </w:r>
    </w:p>
    <w:p>
      <w:r>
        <w:rPr>
          <w:b/>
        </w:rPr>
        <w:t>E. 6</w:t>
      </w:r>
    </w:p>
    <w:p>
      <w:r>
        <w:t>Nach dem Gesagten ist die Beschwerde insofern gutzuheissen, als die an- gefochtene Verfügung aufzuheben und die Sache zur korrekten Durchfüh- rung des Verfahrens sowie zur Neubeurteilung an das SEM zurückzuwei- sen ist. Bei dieser Sachlage erübrigt es sich, auf den weiteren Inhalt der Beschwerde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 vertreter des Beschwerdeführers reichte am 19. Januar 2024 eine Kosten- note zu den Akten, die einen zeitlichen Vertretungsaufwand von insgesamt</w:t>
      </w:r>
    </w:p>
    <w:p>
      <w:r>
        <w:rPr>
          <w:b/>
        </w:rPr>
        <w:t>E. 7.3</w:t>
      </w:r>
    </w:p>
    <w:p>
      <w:r>
        <w:t>Die Gesuche um Gewährung der unentgeltlichen Prozessführung, um Verzicht auf die Erhebung eines Kostenvorschusses und um amtliche Ver- beiständung sind mit dem vorliegenden Urteil gegenstandslos geworden. (Dispositiv nächste Seite)</w:t>
      </w:r>
    </w:p>
    <w:p>
      <w:r>
        <w:t>D-449/2024 Seite 8</w:t>
      </w:r>
    </w:p>
    <w:p>
      <w:r>
        <w:rPr>
          <w:b/>
        </w:rPr>
        <w:t>E. 12</w:t>
      </w:r>
    </w:p>
    <w:p>
      <w:r>
        <w:t>Stunden zu einem Stundenansatz von Fr. 200.– sowie eine Spesen-</w:t>
      </w:r>
    </w:p>
    <w:p>
      <w:r>
        <w:t>D-449/2024 Seite 7 pauschale von Fr. 40.– ausweist. Am 26. Januar 2024 und 8. März 2024 folgten weitere Eingaben, ohne dass der Rechtsvertreter eine aktualisierte Kostennote einreichte.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 der zur Anwendung gebrachte Stundenansatz bei Fr. 200.– zu belassen. Der geltend gemachte zeitliche Aufwand erscheint indes im Verhältnis zu anderen Verfahren gleichen Umfangs und Komplexität zu hoch und wird – unter Mitberücksichtigung der Eingaben vom 26. Januar 2024 und 8. März 2024 – um zwei Stunden gekürzt. Ferner sind Spesen gemäss Art. 11 Abs. 1 VGKE aufgrund der tatsächlichen Kosten auszuzahlen. Die geltend gemachte Pauschale ist somit nicht zu vergüten, zumal keine besonderen Verhältnisse vorliegen, welche die Auszahlung eines Pauschalbetrags rechtfertigen würden (vgl. Art. 11 Abs. 3 VGKE). Demnach ist das SEM an- zuweisen, dem Beschwerdeführer eine Parteientschädigung von Fr. 2’000.– auszurichten. Die Parteientschädigung umfasst keinen Mehr- 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