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D-449/2024 vom 28. März 2024</w:t>
      </w:r>
    </w:p>
    <w:p>
      <w:r>
        <w:t>Bundesverwaltungsgericht, 2024-03-28, DE</w:t>
      </w:r>
    </w:p>
    <w:p>
      <w:r>
        <w:rPr>
          <w:b/>
        </w:rPr>
        <w:t xml:space="preserve">Quelle: </w:t>
      </w:r>
      <w:r>
        <w:t>https://mcp.opencaselaw.ch/entscheid/bvger_D-449_2024</w:t>
      </w:r>
    </w:p>
    <w:p>
      <w:r>
        <w:t>FR: TAF D-449/2024 du 28 mars 2024</w:t>
      </w:r>
    </w:p>
    <w:p>
      <w:r>
        <w:t>IT: TAF D-449/2024 del 28 marzo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begründet und ist im Verfahren einzelrichterlicher Zustän- digkeit mit Zustimmung eines zweiten Richters beziehungsweise einer zweiten Richterin (Art. 111 Bst. e AsylG), ohne Weiterungen und mit sum- marischer Begründung zu behandeln (Art. 111a Abs. 1 und 2 AsylG).</w:t>
      </w:r>
    </w:p>
    <w:p>
      <w:r>
        <w:rPr>
          <w:b/>
        </w:rPr>
        <w:t>E. 4.1</w:t>
      </w:r>
    </w:p>
    <w:p>
      <w:r>
        <w:t>In der Beschwerde werden verschiedene formelle Rügen (Verletzung des Anspruchs auf rechtliches Gehör inklusive der Begründungspflicht so- wie unrichtige und unvollständige Feststellung des rechtserheblichen Sachverhalts) erhoben. Sie sind vorab zu beurteilen, da sie gegebenenfalls geeignet sind, eine Kassation der vorinstanzlichen Verfügung zu bewirken (vgl. EMARK 2004 Nr. 38).</w:t>
      </w:r>
    </w:p>
    <w:p>
      <w:r>
        <w:rPr>
          <w:b/>
        </w:rPr>
        <w:t>E. 4.2</w:t>
      </w:r>
    </w:p>
    <w:p>
      <w:r>
        <w:t>Gemäss Art. 29 VwVG haben die Parteien Anspruch auf rechtliches Gehör, welcher als Mitwirkungsrecht alle Befugnisse umfasst, die einer</w:t>
      </w:r>
    </w:p>
    <w:p>
      <w:r>
        <w:t>D-449/2024 Seite 5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w:t>
      </w:r>
    </w:p>
    <w:p>
      <w:r>
        <w:t>Mit dem Kassationsurteil D-1811/2022 vom 23. Februar 2023 wurde – wie bereits erwähnt – darauf erkannt, dass das SEM gehalten gewesen wäre, sich mit den Fluchtgründen auseinanderzusetzen (vgl. a.a.O. E. 3.3). Erklärtermassen ist das SEM dieser Aufforderung in der neu ergangenen und vorliegend angefochtenen Verfügung vom 18. Dezember 2023 nicht nachgekommen und liess die Frage der Flüchtlingseigenschaft explizit of- fen. Indessen erweist sich die vom SEM angerufene Rechtsprechung, wie der Beschwerdeführer zu Recht rügt (vgl. Beschwerde Ziff. 2.1.1), als nicht einschlägig. Einerseits ist dem Beschwerdeführer zuzustimmen, dass sich die zitierte EMARK-Rechtsprechung auf altes Recht stützt, die Nichteintre- tenstatbestände nunmehr abschliessend in Art. 31a AsylG geregelt sind und das SEM vorliegend gerade eben auf das Asylgesuch eingetreten ist. Andererseits ist dem Beschwerdeführer beizupflichten, dass es sich beim zitierten Urteil des Bundesverwaltungsgerichts um einen anders gelager- ten Fall handelt, welcher sich zwar auf ein binationales Paar bezieht, aber in welchem eine asylrechtliche Gefährdung im jeweiligen Heimatstaat durchaus geprüft wurde. Folglich hat sich das SEM zu Unrecht respektive mit unzureichender und unzutreffender Begründung über das Kassations- urteil hinweggesetzt und damit das rechtliche Gehör des Beschwerdefüh- rers ein zweites Mal verletzt sowie den rechtserheblichen Sachverhalt</w:t>
      </w:r>
    </w:p>
    <w:p>
      <w:r>
        <w:t>D-449/2024 Seite 6 abermals unvollständig abgeklärt. Die entsprechenden Rügen erweisen sich als begründet.</w:t>
      </w:r>
    </w:p>
    <w:p>
      <w:r>
        <w:rPr>
          <w:b/>
        </w:rPr>
        <w:t>E. 5.1</w:t>
      </w:r>
    </w:p>
    <w:p>
      <w:r>
        <w:t>Gemäss Art. 61 Abs. 1 VwVG entscheidet das Bundesverwaltungsge- richt in der Sache selbst oder weist diese ausnahmsweise mit verbindlichen Weisungen an die Vorinstanz zurück. Der Anspruch auf rechtliches Gehör ist formeller Natur und eine Verletzung desselben führt grundsätzlich zur Aufhebung des daraufhin ergangenen Entscheides, ungeachtet der Erfolgsaussichten der Beschwerde in der Sache selbst. Vorbehalten blei- ben praxisgemäss jene Fälle, in denen die Verletzung nicht besonders schwer wiegt und dadurch geheilt werden kann, dass die Partei sich vor einer Instanz äussern kann, die sowohl Tat- als auch Rechtsfragen unein- geschränkt überprüft (vgl. BVGE 2008/47 E. 3.3.4).</w:t>
      </w:r>
    </w:p>
    <w:p>
      <w:r>
        <w:rPr>
          <w:b/>
        </w:rPr>
        <w:t>E. 5.2</w:t>
      </w:r>
    </w:p>
    <w:p>
      <w:r>
        <w:t>Vorliegend kommt eine Heilung auf Beschwerdeebene schon deshalb nicht in Betracht, weil es das SEM trotz ausdrücklicher Aufforderung im Kassationsurteil versäumt hat, die festgestellten formellen Rechtsverlet- zungen zu korrigieren. Im Übrigen ist die Überprüfungsbefugnis des Bun- desverwaltungsgerichts nach Art. 106 Abs. 1 AsylG ohnehin einge- schränkt.</w:t>
      </w:r>
    </w:p>
    <w:p>
      <w:r>
        <w:rPr>
          <w:b/>
        </w:rPr>
        <w:t>E. 6</w:t>
      </w:r>
    </w:p>
    <w:p>
      <w:r>
        <w:t>Nach dem Gesagten ist die Beschwerde insofern gutzuheissen, als die an- gefochtene Verfügung aufzuheben und die Sache zur korrekten Durchfüh- rung des Verfahrens sowie zur Neubeurteilung an das SEM zurückzuwei- sen ist. Bei dieser Sachlage erübrigt es sich, auf den weiteren Inhalt der Beschwerde einzugehen.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Der Rechts- vertreter des Beschwerdeführers reichte am 19. Januar 2024 eine Kosten- note zu den Akten, die einen zeitlichen Vertretungsaufwand von insgesamt</w:t>
      </w:r>
    </w:p>
    <w:p>
      <w:r>
        <w:rPr>
          <w:b/>
        </w:rPr>
        <w:t>E. 7.3</w:t>
      </w:r>
    </w:p>
    <w:p>
      <w:r>
        <w:t>Die Gesuche um Gewährung der unentgeltlichen Prozessführung, um Verzicht auf die Erhebung eines Kostenvorschusses und um amtliche Ver- beiständung sind mit dem vorliegenden Urteil gegenstandslos geworden. (Dispositiv nächste Seite)</w:t>
      </w:r>
    </w:p>
    <w:p>
      <w:r>
        <w:t>D-449/2024 Seite 8</w:t>
      </w:r>
    </w:p>
    <w:p>
      <w:r>
        <w:rPr>
          <w:b/>
        </w:rPr>
        <w:t>E. 12</w:t>
      </w:r>
    </w:p>
    <w:p>
      <w:r>
        <w:t>Stunden zu einem Stundenansatz von Fr. 200.– sowie eine Spesen-</w:t>
      </w:r>
    </w:p>
    <w:p>
      <w:r>
        <w:t>D-449/2024 Seite 7 pauschale von Fr. 40.– ausweist. Am 26. Januar 2024 und 8. März 2024 folgten weitere Eingaben, ohne dass der Rechtsvertreter eine aktualisierte Kostennote einreichte. Auf die Nachforderung einer solchen kann indessen verzichtet werden (vgl. Art. 14 Abs. 2 VGKE), da im vorliegenden Verfahren der Aufwand für die Beschwerdeführung zuverlässig abgeschätzt werden kann, wobei nur der notwendige Aufwand zu entschädigen ist. Gestützt auf die in Betracht zu ziehenden Bemessungsfaktoren (Art. 9–13 VGKE), ist der zur Anwendung gebrachte Stundenansatz bei Fr. 200.– zu belassen. Der geltend gemachte zeitliche Aufwand erscheint indes im Verhältnis zu anderen Verfahren gleichen Umfangs und Komplexität zu hoch und wird – unter Mitberücksichtigung der Eingaben vom 26. Januar 2024 und 8. März 2024 – um zwei Stunden gekürzt. Ferner sind Spesen gemäss Art. 11 Abs. 1 VGKE aufgrund der tatsächlichen Kosten auszuzahlen. Die geltend gemachte Pauschale ist somit nicht zu vergüten, zumal keine besonderen Verhältnisse vorliegen, welche die Auszahlung eines Pauschalbetrags rechtfertigen würden (vgl. Art. 11 Abs. 3 VGKE). Demnach ist das SEM an- zuweisen, dem Beschwerdeführer eine Parteientschädigung von Fr. 2’000.– auszurichten. Die Parteientschädigung umfasst keinen Mehr- 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