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D-4491/2006 vom 1. April 2010</w:t>
      </w:r>
    </w:p>
    <w:p>
      <w:r>
        <w:t>Bundesverwaltungsgericht, 2010-04-01, FR</w:t>
      </w:r>
    </w:p>
    <w:p>
      <w:r>
        <w:rPr>
          <w:b/>
        </w:rPr>
        <w:t xml:space="preserve">Quelle: </w:t>
      </w:r>
      <w:r>
        <w:t>https://mcp.opencaselaw.ch/entscheid/bvger_D-4491_2006</w:t>
      </w:r>
    </w:p>
    <w:p>
      <w:r>
        <w:t>FR: TAF D-4491/2006 du 1 avril 2010</w:t>
      </w:r>
    </w:p>
    <w:p>
      <w:r>
        <w:t>IT: TAF D-4491/2006 del 1 aprile 2010</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 a qualité pour recourir (art. 48 PA) et son recours, respectant les exigences légales en la matière (art. 50 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3.3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2008/12 consid. 5.2 p. 154s., ATAF 2008/4 consid. 5.4 p. 38s., ATAF 2007/31 consid. 5.2 p. 379 ; cf. également dans ce sens JICRA 2006 n° 32 consid. 5 p. 339s., JICRA 2006 n° 25 consid. 7 p. 277 [i. l.], JICRA 2005 n° 21 consid. 7.2. p. 193, JICRA 2005 n° 7 consid. 7.1. p. 70, JICRA 2000 n° 2 consid. 8b et c p. 20ss, JICRA 1998 n° 20 consid. 7 p. 179s., JICRA 1997 n° 14 consid. 2b p. 106 [i. f.] s., JICRA 1996 n° 29 consid. 2b p. 277, JICRA 1996 n° 25 p. 247ss [spéc. consid. 5b/cc p. 250s.], JICRA 1994 n° 24 consid. 8 p. 177ss).</w:t>
      </w:r>
    </w:p>
    <w:p>
      <w:r>
        <w:rPr>
          <w:b/>
        </w:rPr>
        <w:t>E. 3.4</w:t>
      </w:r>
    </w:p>
    <w:p>
      <w:r>
        <w:t>La crainte de persécutions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D-4214/2006 consid. 3.2 du 9 janvier 2009 et E-6333/2006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3.5</w:t>
      </w:r>
    </w:p>
    <w:p>
      <w:r>
        <w:t>Il convient encore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persécutions antérieures a des raisons d'avoir une crainte subjective plus prononcée que celui qui est en contact pour la première fois avec les services de sécurité de l'État.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celle-ci peut être le plus objectivement établie, et l'intérêt public ne saurait se contenter de fictions (cf. dans ce sens JICRA 1996 n° 18 consid. 3d/aa [i. f.] p. 171, JICRA 1995 n° 5 consid. 6a p. 43).</w:t>
      </w:r>
    </w:p>
    <w:p>
      <w:r>
        <w:rPr>
          <w:b/>
        </w:rPr>
        <w:t>E. 4.1</w:t>
      </w:r>
    </w:p>
    <w:p>
      <w:r>
        <w:t>En l'espèce, l'intéressé n'a pas démontré que les exigences légales et jurisprudentielles requises pour la reconnaissance de la qualité de réfugié et l'octroi de l'asile étaient remplies. Son recours ne contient, sur ces points, ni arguments, ni moyens de preuve susceptibles de remettre en cause le bien-fondé de la décision querellée.</w:t>
      </w:r>
    </w:p>
    <w:p>
      <w:r>
        <w:rPr>
          <w:b/>
        </w:rPr>
        <w:t>E. 4.2</w:t>
      </w:r>
    </w:p>
    <w:p>
      <w:r>
        <w:t>S'agissant tout d'abord des faits allégués et des persécutions prétendument subies entre (...) - date de l'entrée en politique de l'intéressé - et sa libération en (...), voire la fin de son service militaire en (...), le Tribunal, à l'instar de l'ODM, relève que, indépendamment de leur vraisemblance, ces événements ne sont de toute manière pas dans un rapport de causalité temporel et matériel suffisamment étroit avec le départ du pays survenu en (...) (cf. sur la notion de rapport de causalité, arrêt du Tribunal administratif E-4476/2006 consid. 3.1.1 du 23 décembre 2009).</w:t>
      </w:r>
    </w:p>
    <w:p>
      <w:r>
        <w:rPr>
          <w:b/>
        </w:rPr>
        <w:t>E. 4.3</w:t>
      </w:r>
    </w:p>
    <w:p>
      <w:r>
        <w:t>Par ailleurs, s'il n'y pas de raisons objectives de mettre en doute les allégations de l'intéressé concernant la première partie de son récit, il n'en va pas de même en ce qui concerne la seconde partie, soit celle relative aux événements prétendument vécus par l'intéressé après la fin de son service militaire en (...). On relèvera d'abord que si la première partie du récit est étayée par divers moyens de preuve cités dans les considérants qui précèdent, la seconde n'est par contre constituée que de simples affirmations de sa part qu'aucun élément concret et sérieux ni moyen de preuve déterminant ne vient étayer. Par ailleurs, les réponses données par l'intéressé au sujet tant de l'organisation et de la structure du mouvement dont il aurait été sympathisant que des activités illégales qu'il aurait exercées après la fin de son service militaire sont inconsistantes et dépourvues de descriptions détaillées, précises et concrètes permettant d'en admettre la réalité (cf. pv de l'audition du 7 septembre 2004, p. 9-11). Ainsi, bien qu'il ait allégué avoir participé à une cinquantaine, voire à une centaine de réunions de son parti, il est resté extrêmement évasif quant au déroulement de ces dernières, leur but, ainsi que, par exemple, les personnes qui y auraient été influentes. En outre, il n'est pas vraisemblable que l'intéressé, qui n'aurait revêtu aucun profil politique particulier et qui n'aurait été que sympathisant du (...), n'étant pas assez professionnel pour en devenir membre, ait pu faire l'objet de préjudices ciblés, parce qu'il aurait participé à la manifestation de masse du (...). De plus, comme relevé ci-dessus, alors qu'il a déposé plusieurs documents attestant ses allégations concernant ses activités politiques durant les années (...), sa condamnation en (...), sa libération conditionnelle en (...) et son service militaire, il n'a en revanche déposé aucun moyen de preuve de nature à étayer ses propos relatifs à ses prétendues activités politiques entre (...) et (...). Au contraire, le seul document postérieur à (...) versé en la cause consiste en une attestation établie le (...) par D._______ qui certifie que l'intéressé a purgé sa peine et qu'il n'est plus recherché. Partant, l'intéressé n'a pas rendu vraisemblable qu'il ait subi après son service militaire ou aurait à craindre de subir des préjudices du fait d'un profil politique particulier. Il résulte de ce qui précède que les prétendues restrictions à sa liberté personnelle et pressions policières qu'il aurait subies dès la fin de son service militaire, à savoir des filatures, des fouilles au corps, des actes d'intimidation, voire son licenciement, ne sont pas crédibles. Le recourant fait certes valoir que cela correspond aux techniques d'intimidation utilisées par la police. Force est cependant de relever qu'il n'appert pas que l'intéressé, qui n'aurait été qu'un simple sympathisant de son parti, ait exercé des fonctions au sein de celui-ci ou des activités politiques de nature à justifier l'attention particulière que lui aurait portée la police.</w:t>
      </w:r>
    </w:p>
    <w:p>
      <w:r>
        <w:rPr>
          <w:b/>
        </w:rPr>
        <w:t>E. 4.4</w:t>
      </w:r>
    </w:p>
    <w:p>
      <w:r>
        <w:t>Par ailleurs, le fait que l'intéressé ait pu se procurer une carte d'identité en (...), obtenir à deux reprises la prolongation de son passeport, soit en (...) et en (...), et quitter légalement son pays en (...) depuis l'aéroport international C._______ en franchissant les contrôles douaniers et policiers en se légitimant avec son propre passeport, démontre qu'il n'était pas dans le collimateur des autorités. Le recourant prétend certes que l'obtention de la prolongation de son passeport n'est pas incompatible avec le fait d'être recherché, puisqu'il avait pu obtenir ce document en (...), alors même qu'une procédure pénale était ouverte à son encontre. Il fait en outre valoir qu'il n'était pas officiellement recherché et qu'il n'était pas connu des services douaniers. Ces explications ne sont toutefois pas convaincantes ni déterminantes. En effet, si la police avait réellement exercé une surveillance de l'intéressé telle qu'alléguée, le filant dans ses déplacements et intervenant continuellement dans sa vie privée et professionnelle, il ne fait nul doute qu'elle n'aurait pas manqué de réagir au vu des démarches effectuées en vue de son départ et qu'elle l'aurait intercepté avant celui-ci pour, à tout le moins, l'interroger sur les motifs et destination de son voyage à l'étranger.</w:t>
      </w:r>
    </w:p>
    <w:p>
      <w:r>
        <w:rPr>
          <w:b/>
        </w:rPr>
        <w:t>E. 4.5</w:t>
      </w:r>
    </w:p>
    <w:p>
      <w:r>
        <w:t>S'agissant des autres moyens de preuve déposés à l'appui de son recours, à savoir le rapport d'AI du 1er septembre 2004 et les extraits de rapports de la TIHV, force est de constater qu'ils ne sont pas déterminants, dans la mesure où ils ne sont pas de nature à démontrer la réalité des persécutions alléguées. En outre, ces moyens de preuve, décrivant des événements d'ordre général ou concernant des tiers, ne se réfèrent pas explicitement ou implicitement et de façon certaine à l'intéressé.</w:t>
      </w:r>
    </w:p>
    <w:p>
      <w:r>
        <w:rPr>
          <w:b/>
        </w:rPr>
        <w:t>E. 4.6</w:t>
      </w:r>
    </w:p>
    <w:p>
      <w:r>
        <w:t>Au vu de ce qui précède, le Tribunal estime que l'intéressé n'a pas rendu hautement vraisemblable qu'il était un réfugié au moment de sa fuite.</w:t>
      </w:r>
    </w:p>
    <w:p>
      <w:r>
        <w:rPr>
          <w:b/>
        </w:rPr>
        <w:t>E. 4.7</w:t>
      </w:r>
    </w:p>
    <w:p>
      <w:r>
        <w:t>Il reste à examiner si celui-ci peut se prévaloir d'une crainte fondée de persécution au vu de sa situation personnelle.</w:t>
      </w:r>
    </w:p>
    <w:p>
      <w:r>
        <w:rPr>
          <w:b/>
        </w:rPr>
        <w:t>E. 4.7.1</w:t>
      </w:r>
    </w:p>
    <w:p>
      <w:r>
        <w:t>En l'occurrence, le Tribunal retient que le recourant n'est plus recherché officiellement par les autorités turques, qui l'ont amnistié et libéré (cf. la décision d'amnistie du [...], l'attestation du [...] et le pv de l'audition du 7 septembre 2004, p. 13). Certes, le recourant a allégué que sa libération n'était que conditionnelle, ce qui l'exposait, en cas de renvoi, à devoir continuer à purger une peine inique s'il rencontrait un problème avec les autorités pour un quelconque motif. Il ressort toutefois de la lettre de son avocat produite le 5 juin 2005, que "la durée de la condition de sa libération a pris fin le (...)", ce qui écarte donc tout risque qu'il soit amené à devoir purger le solde de sa peine à l'avenir. Indépendamment de cela, les craintes émises par l'intéressé sont purement hypothétiques et ne reposent sur aucun élément tangible. Le Tribunal relève en outre qu'elles sont fondées sur le postulat que le recourant pourrait rencontrer à nouveau des problèmes avec les autorités. Or, comme on l'a vu ci-dessus, il n'est pas vraisemblable que l'intéressé soit encore à ce jour dans le collimateur des autorités turques et, qu'à ce titre, il ait à craindre, dans un avenir proche et selon toute vraisemblance, des ennuis avec ces dernières pouvant, par hypothèse, conduire à sa réincarcération. Quant au risque encouru à ce sujet du fait du dépôt de sa demande d'asile en Suisse, il sera examiné spécifiquement ci-après (consid. 4.8).</w:t>
      </w:r>
    </w:p>
    <w:p>
      <w:r>
        <w:rPr>
          <w:b/>
        </w:rPr>
        <w:t>E. 4.7.2</w:t>
      </w:r>
    </w:p>
    <w:p>
      <w:r>
        <w:t>Le recourant a en outre allégué qu'au vu de son passé et de son casier judiciaire, il ne pourra pas obtenir un poste de travail dans le secteur public (cf. lettre de son avocat en Turquie produite le 10 mai 2005). Il est à relever qu'une telle restriction à l'accès à certaines fonctions publiques n'est pas déterminante en matière d'asile, dès lors qu'elle ne serait pas d'une intensité suffisante au sens de l'art. 3 LAsi.</w:t>
      </w:r>
    </w:p>
    <w:p>
      <w:r>
        <w:rPr>
          <w:b/>
        </w:rPr>
        <w:t>E. 4.8</w:t>
      </w:r>
    </w:p>
    <w:p>
      <w:r>
        <w:t>Enfin, le recourant a fait valoir que le dépôt d'une demande d'asile à l'étranger l'exposait à des persécutions de la part des autorités turques en cas de renvoi.</w:t>
      </w:r>
    </w:p>
    <w:p>
      <w:r>
        <w:rPr>
          <w:b/>
        </w:rPr>
        <w:t>E. 4.8.1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KOCH/BENDICHT TELLENBACH, Die subjektiven Nachfluchtgründe, Asyl 1986/2, p. 2), mais le législateur a en revanche clairement exclu qu'ils puissent conduire à l'octroi de l'asile, indépendamment de la question de savoir s'ils ont été allégués abusivement ou non (cf.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(cf. JICRA 1995 précitée consid. 8 p. 70).</w:t>
      </w:r>
    </w:p>
    <w:p>
      <w:r>
        <w:rPr>
          <w:b/>
        </w:rPr>
        <w:t>E. 4.8.2</w:t>
      </w:r>
    </w:p>
    <w:p>
      <w:r>
        <w:t>En l'occurrence, le simple dépôt d'une demande d'asile à l'étranger par un ressortissant turc - en admettant que ce fait parvienne à la connaissance des autorités de son pays, ce qui n'est, in casu, pas démontré -, ne suffit pas à rendre hautement probable une crainte de persécution future en cas de renvoi. Certes, le mandataire du recourant en Turquie a observé qu'il était "probable que ses dépositions données dans l'État d'asile constituent un délit selon les lois de la République de Turquie". Toutefois, cette allégation, qui est restée d'ailleurs purement hypothétique, n'est nullement étayée et doit être considérée en l'état comme une simple affirmation sans portée particulière dans ce contexte. Enfin, on relèvera que les autorités turques ne sont pas sans savoir que certains de leurs compatriotes déposent des demandes d'asile dans des États tiers dans le seul but d'y obtenir un titre de séjour.</w:t>
      </w:r>
    </w:p>
    <w:p>
      <w:r>
        <w:rPr>
          <w:b/>
        </w:rPr>
        <w:t>E. 4.8.3</w:t>
      </w:r>
    </w:p>
    <w:p>
      <w:r>
        <w:t>Au vu de ce qui précède, il n'y a pas lieu d'admettre que le recourant ait une crainte objectivement fondée de subir, du fait du dépôt de sa demande d'asile en Suisse, de sérieux préjudices au sens de l'art. 3 LAsi en cas de retour dans son pays. Partant, les conditions d'admission d'un motif subjectif postérieur à la fuite, au sens de l'art. 54 LAsi, ne sont pas réalisées.</w:t>
      </w:r>
    </w:p>
    <w:p>
      <w:r>
        <w:rPr>
          <w:b/>
        </w:rPr>
        <w:t>E. 4.9</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L'intéressé n'ayant pas établi l'existence de sérieux préjudices au sens de l'art. 3 LAsi, il ne peut se prévaloir de l'art. 5 al. 1 LAsi (principe de non-refoulement). 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La Turquie ne connaît pas une situation de guerre, de guerre civile ou de violence généralisée sur l'ensemble de son territoire qui permettrait d'emblée de présumer, à propos de tous les requérants provenant de cet État, et quelles que soient les circonstances de chaque cause, l'existence d'une mise en danger concrète au sens des dispositions précitées.</w:t>
      </w:r>
    </w:p>
    <w:p>
      <w:r>
        <w:rPr>
          <w:b/>
        </w:rPr>
        <w:t>E. 6.3.2</w:t>
      </w:r>
    </w:p>
    <w:p>
      <w:r>
        <w:t>En outre, il ne ressort pas du dossier que l'intéressé pourrait être mis sérieusement en danger pour des motifs qui lui seraient propres. Il est dans la force de l'âge, (...) et (...). Il est de plus au bénéfice d'une formation supérieure et peut se prévaloir d'une expérience professionnelle. Il dispose de surcroît d'un réseau familial dans son pays d'origine et on peut raisonnablement partir de l'idée qu'il s'est créé un réseau social et professionnel qu'il pourra, le cas échéant, réactiver. Enfin, il n'a pas allégué ni a fortiori établi qu'il souffrait de problèmes de santé particuliers pour lesquels il ne pourrait être soigné en Turquie et qui seraient susceptibles de rendre son renvoi inexécutable. L'ensemble de ces facteurs devrait ainsi lui permettre de se réinstaller dans son pays sans y rencontrer d'excessives difficultés.</w:t>
      </w:r>
    </w:p>
    <w:p>
      <w:r>
        <w:rPr>
          <w:b/>
        </w:rPr>
        <w:t>E. 6.3.3</w:t>
      </w:r>
    </w:p>
    <w:p>
      <w:r>
        <w:t>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D-2144/2009 du 14 avril 2009, D-1469/2009 du 12 mars 2009 et D-5716/2006 du 30 janvier 2009 ; cf. également dans ce sens JICRA 1994 n° 18 consid. 4e p. 143).</w:t>
      </w:r>
    </w:p>
    <w:p>
      <w:r>
        <w:rPr>
          <w:b/>
        </w:rPr>
        <w:t>E. 6.3.4</w:t>
      </w:r>
    </w:p>
    <w:p>
      <w:r>
        <w:t>Compte tenu de ce qui précède, l'exécution du renvoi s'avère raisonnablement exigible.</w:t>
      </w:r>
    </w:p>
    <w:p>
      <w:r>
        <w:rPr>
          <w:b/>
        </w:rPr>
        <w:t>E. 6.4</w:t>
      </w:r>
    </w:p>
    <w:p>
      <w:r>
        <w:t>Dite exécution s'avère aussi possible (art. 44 al. 2 LAsi et art. 83 al. 2 LEtr). Il incombe en effet à l'intéressé, dans le cadre de son obligation de collaborer, d'entreprendre toutes les démarches nécessaires pour obtenir les documents lui permettant de retourner dans son pays d'origine (art. 8 al. 4 LAsi).</w:t>
      </w:r>
    </w:p>
    <w:p>
      <w:r>
        <w:rPr>
          <w:b/>
        </w:rPr>
        <w:t>E. 6.5</w:t>
      </w:r>
    </w:p>
    <w:p>
      <w:r>
        <w:t>Il s'ensuit que le recours, en tant qu'il porte sur l'exécution du renvoi, doit être rejeté et le dispositif de la décision entreprise également confirmé sur ce point.</w:t>
      </w:r>
    </w:p>
    <w:p>
      <w:r>
        <w:rPr>
          <w:b/>
        </w:rPr>
        <w:t>E. 7</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