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D-4490/2010 vom 3. August 2011</w:t>
      </w:r>
    </w:p>
    <w:p>
      <w:r>
        <w:t>Bundesverwaltungsgericht, 2011-08-03, DE</w:t>
      </w:r>
    </w:p>
    <w:p>
      <w:r>
        <w:rPr>
          <w:b/>
        </w:rPr>
        <w:t xml:space="preserve">Quelle: </w:t>
      </w:r>
      <w:r>
        <w:t>https://mcp.opencaselaw.ch/entscheid/bvger_D-4490_2010</w:t>
      </w:r>
    </w:p>
    <w:p>
      <w:r>
        <w:t>FR: TAF D-4490/2010 du 3 août 2011</w:t>
      </w:r>
    </w:p>
    <w:p>
      <w:r>
        <w:t>IT: TAF D-4490/2010 del 3 agosto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Der Beschwerdeführer ist zur Beschwerdeführung legitimiert und die Beschwerdeeinreichung erfolgte sowohl frist- als auch formgerecht, weshalb auf die Beschwerdesache einzutreten ist (vgl. Art. 37 VGG i.V.m. Art. 112 AuG und Art. 48 Abs. 1, Art. 50 und 52 VwVG).</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27. Januar 2006 vorläu­fig aufgenommen wurde, ist aufgrund der genannten übergangs­rechtlichen Regelung das Vorliegen der Voraussetzungen für die Auf­hebung der vorläufigen Aufnahme nach neuem Recht - mithin nach Art. 84 Abs. 2 AuG - zu prüfen.</w:t>
      </w:r>
    </w:p>
    <w:p>
      <w:r>
        <w:rPr>
          <w:b/>
        </w:rPr>
        <w:t>E. 2.2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2.3</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27. Januar 2006 verfügte vorläufige Aufnah­me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indes nur Personen, wel­che die Flüchtlingseigenschaft im Sinne von Art. 3 AsylG respektive Art. 1 A FK erfüllen. Nachdem das BFM in seiner Verfügung vom 27. Ja­nuar 2006 festgestellt hat, dass der Beschwerdeführer die Flüchtlingseigen­schaft nicht erfüllt, und der Entscheid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3.2</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3.3</w:t>
      </w:r>
    </w:p>
    <w:p>
      <w:r>
        <w:t>Der Beschwerdeführer bringt im vorliegenden Verfahren wiederum den bereits von den Asylbehörden rechtskräftig als unglaubhaft beurteilten Sachverhalt vor. Diesbezüglich legt er jedoch neu einen Haftbefehl ins Recht, welcher auf den 18. Mai 2010 datiert ist (und denjenigen vom 24. August 2004 ersetze), sowie ein Schreiben der KSDP vom 10. Mai 2010, welches seine Asylvorbringen bestätigen würde. Hierzu ist zunächst festzuhalten, dass damit sinngemäss ein Revisions- bzw. Wiedererwägungsgrund inbezug auf den rechtskräftigen Entscheid bezüglich Nichtzuerkennung der Flüchtlingseigenschaft vorgebracht wird. Da dieser Entscheid (Verfügung der Vorinstanz vom 27. Januar 2006) wegen verspäteter Beschwerdeerhebung nicht Gegenstand einer materiellen Überprüfung durch die Beschwerdeinstanz ARK bzw. Bundesverwaltungsgericht bildete, fällt die Beurteilung eines solchen Revisions- bzw. Wiedererwägungsgrundes ohnehin in die Zuständigkeit der Vorinstanz (vgl. Entscheidungen und Mitteilungen der Schweizerischen Asyl­rekurskommission [EMARK] 1998/8). Es kann daher offen bleiben, ob das ins Recht gelegte neue Beweismittel überhaupt einen Revisions­grund im Sinne von Art. 123 Abs. 2 Bst. a (in fine) BGG hätte bilden können. Die Vorinstanz ist auf diese prozessuale Feinheit nicht eingegangen, was indessen im Ergebnis nichts daran ändert, dass das eingereichte Beweismittel zu Recht als untauglich erachtet wurde, um auf die negative Beurteilung der Flüchtlingseigenschaft zurück­zu­kommen. In Übereinstimmung mit der Vorinstanz ist festzuhalten, dass die ein­ge­reichten Dokumente Merkmale aufweisen, wie sie in echten irakischen Dokumenten nicht vorkommen. Zudem ist nicht nachvollziehbar, wie der Beschwerdeführer über Verwandte an einen an ihn gerichteten Haftbefehl gelangen konnte. Seine diesbezüglichen Vorbringen sind denn auch unsubstanziiert und sprechen gegen die Gegebenheiten in seiner Heimat beziehungsweise gegen die allgemeine Lebens­erfah­rung. Des weiteren ist es nicht nachvollzie­hbar, weshalb er aufgrund des geschilderten Vorfalles im Irak von staatlicher Seite her wegen Mordes oder absichtlicher Tötung in Verdacht stehen und die zuständige Strafbehörde gegen ihn ein entsprechendes Verfahren eröffnen sollte. Gemäss seinen Schilderungen des Vorfalles würde er weder die objektiven noch subjektiven Tatbestandselemente eines solchen Verbrechens erfüllen. Auch das eingereichte Bestätigungs­schreiben der KSDP verfügt - wenn überhaupt - nur über einen geringen Beweiswert. Einerseits kann nicht ausgeschlossen werden, dass es sich bei diesem um ein Gefälligkeitsschreiben handelt und andererseits ist festzuhalten, dass der Briefkopf nicht dem üblichen Parteiemblem der KSDP entspricht, weshalb die Echtheit dieses Dokumentes zumindest in Frage gestellt werden kann. Dem Beschwerdeführer gelingt es somit auch mit der Einreichung der beiden neuen Beweismittel nicht, seine Asylvorbringen glaubhaft zu machen. Diese sind für sich alleine betrachtet nämlich weder geeignet, ein offenes Verfahren gegen ihn noch Probleme mit Dritten zu belegen. Bei den vom Beschwerdeführer erneut vorgebrachten Asylgründen handelt es sich vielmehr um ein Sachverhaltskonstrukt. Somit sind in casu keine individuellen Gründe ersichtlich, welche gegen die Zulässigkeit des Wegweisungsvollzuges sprechen würden. An dieser Einschätzung ändern auch die von ihm eingereichten Presseberichte zur allgemeinen Lage im Nordirak nichts, da er aus diesen nichts zu seinen Gunsten ableiten kann.</w:t>
      </w:r>
    </w:p>
    <w:p>
      <w:r>
        <w:rPr>
          <w:b/>
        </w:rPr>
        <w:t>E. 3.4</w:t>
      </w:r>
    </w:p>
    <w:p>
      <w:r>
        <w:t>Nach Praxis des Bundesverwaltungsgerichts lässt sodann die allgemeine Sicherheits- und Menschenrechtslage in den drei Nord­provinzen des Irak (Dohuk, Erbil und Sulaymaniyah) den Wegweisungs­vollzug in den Nordirak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3.5</w:t>
      </w:r>
    </w:p>
    <w:p>
      <w:r>
        <w:t>Der Vollzug der Wegweisung ist demnach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geht nach einer umfassenden Be­urteilung der aktuellen Situation in den drei nordirakischen Provinzen Dohuk, Sulaymaniyah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4.3</w:t>
      </w:r>
    </w:p>
    <w:p>
      <w:r>
        <w:t>Die Sicherheitssituation im Nordirak hat sich seit Publikation des erwähnten Urteils - entgegen den sinngemäss anders lautenden Vor­bringen - nicht verschlechtert. In der überwiegenden Mehrheit der Be­richte von Regierungs- und Nichtregierungsorganisationen sowie des UN-Sicherheitsrats wird eine insgesamt stabile Situation beschrieben (vgl. dazu UK Home Office, Country of Origin Information Report vom 25. März 2011 über die Kurdistan Regional Government Area of Iraq). Die Vorbringen des Beschwerdeführers betreffend eine angeblich schlechte Lage, besonders in der Provinz Sulaymaniyah, vermögen nicht zu überzeugen. Dem Beschwerdeführer sind der Haftbefehl vom 18. Mai 2010 und das Bestätigungsschreiben der KSDP vom 10. Mai 2010 jeweils samt der mitgelieferten deutschen Übersetzung zu retournieren.</w:t>
      </w:r>
    </w:p>
    <w:p>
      <w:r>
        <w:rPr>
          <w:b/>
        </w:rPr>
        <w:t>E. 4.4</w:t>
      </w:r>
    </w:p>
    <w:p>
      <w:r>
        <w:t>Der gemäss den Akten nunmehr (...)-jährige Beschwerdeführer ist ethnischer Kurde, der seine prägenden Kinder- und Jugendjahre ununterbrochen in Sulaymaniyah verbracht hat. Dort hat er als Landwirt gearbeitet und verfügt über ein soziales Beziehungsnetz. Es ist demnach nicht davon auszugehen, dass der Beschwerdeführer bei seiner Rückkehr nach Sulaymaniyah aus individuellen Gründen wirtschaftlicher, sozialer oder gesundheitlicher Natur in eine existenzbedrohende Situation geraten würde. Zur Überbrückung allfälliger Anfangsschwierigkeiten kann der Beschwerdeführer zudem - wie vom BFM zu Recht erwähnt - Rückkehrhilfe beantragen.</w:t>
      </w:r>
    </w:p>
    <w:p>
      <w:r>
        <w:rPr>
          <w:b/>
        </w:rPr>
        <w:t>E. 4.5</w:t>
      </w:r>
    </w:p>
    <w:p>
      <w:r>
        <w:t>Auf die Vorbringen des Beschwerdeführers im Zusammenhang mit der "Kirkuk-Frage" ist in casu nicht näher einzugehen, da der Beschwerdeführer gemäss Akten keinerlei Bezug zu dieser zentralirakischen Stadt hat, ein Wegweisungsvollzug nach Kirkuk von den Asylbehörden gar nie in Erwägung gezogen wurde und somit nicht Verfahrensgegenstand ist.</w:t>
      </w:r>
    </w:p>
    <w:p>
      <w:r>
        <w:rPr>
          <w:b/>
        </w:rPr>
        <w:t>E. 4.6</w:t>
      </w:r>
    </w:p>
    <w:p>
      <w:r>
        <w:t>In seiner Beschwerdeeingabe wendet der Beschwerdeführer zudem ein, durch die Intervention der türkischen Armee im Nordirak sei er bei einer Rückkehr in sein Heimatland einer zusätzlichen Gefahr ausgesetzt. Diesbezüglich ist jedoch festzuhalten, dass sich die türkischen Offensivaktionen nicht gegen die im Nordirak lebende Zivilbevölkerung richten, weshalb diese keine individuelle Gefährdung des Beschwerdeführer darstellen.</w:t>
      </w:r>
    </w:p>
    <w:p>
      <w:r>
        <w:rPr>
          <w:b/>
        </w:rPr>
        <w:t>E. 4.7</w:t>
      </w:r>
    </w:p>
    <w:p>
      <w:r>
        <w:t>Nach den vorstehenden Erwägungen ist der Vollzug der Wegweisung als zumutbar zu bezeichnen.</w:t>
      </w:r>
    </w:p>
    <w:p>
      <w:r>
        <w:rPr>
          <w:b/>
        </w:rPr>
        <w:t>E. 5</w:t>
      </w:r>
    </w:p>
    <w:p>
      <w:r>
        <w:t>Der Wegweisungsvollzug in den Nordirak ist schliesslich praxisgemäss auch als möglich zu erkennen (Art. 83 Abs. 2 AuG). Der Beschwerdeführer ist gehalten, die für eine Rückkehr notwendigen Reisedokumente - namentlich einen Reisepass - bei der für ihn zuständigen Vertretung seines Heimatstaates zu beschaffen (Art. 8 Abs. 4 AsylG).</w:t>
      </w:r>
    </w:p>
    <w:p>
      <w:r>
        <w:rPr>
          <w:b/>
        </w:rPr>
        <w:t>E. 6</w:t>
      </w:r>
    </w:p>
    <w:p>
      <w:r>
        <w:t>Nach vorstehenden Erwägungen hat das BFM den Vollzug der Wegweisung zu Recht als zulässig, zumutbar und möglich erklärt, weshalb die Aufhebung der vorläufigen Aufnahme zu bestätigen ist. Zusammenfassend ergibt sich somit, dass die angefochtene Verfügung Bundesrecht nicht verletzt, den rechtserheblichen Sachverhalt richtig und vollständig feststellt und angemessen ist (Art. 49 VwVG). Die Beschwerde ist daher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