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D-4487/2009 vom 4. November 2009</w:t>
      </w:r>
    </w:p>
    <w:p>
      <w:r>
        <w:t>Bundesverwaltungsgericht, 2009-11-04, DE</w:t>
      </w:r>
    </w:p>
    <w:p>
      <w:r>
        <w:rPr>
          <w:b/>
        </w:rPr>
        <w:t xml:space="preserve">Quelle: </w:t>
      </w:r>
      <w:r>
        <w:t>https://mcp.opencaselaw.ch/entscheid/bvger_D-4487_2009</w:t>
      </w:r>
    </w:p>
    <w:p>
      <w:r>
        <w:t>FR: TAF D-4487/2009 du 4 novembre 2009</w:t>
      </w:r>
    </w:p>
    <w:p>
      <w:r>
        <w:t>IT: TAF D-4487/2009 del 4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Rechtsmitteleingabe vom 13. Juli 2009 hält der Beschwerdeführer der Feststellung des BFM, wonach er nur wenig detaillierte Angaben gemacht habe, im Wesentlichen entgegen, dass die Befragung einerseits nicht in Kurmanj, sondern trotz seiner Intervention in Türkisch durchgeführt worden sei (vgl. A12/ S. 2 f.). Im Übrigen sei sein Onkel F._______ vor einigen Jahren in der Schweiz als Flüchtling anerkannt worden. Im Verlauf von dessen Asylverfahren seien Botschaftsabklärungen vor Ort durchgeführt worden und das BFM sei zum Schluss gelangt, sein Onkel und dessen Kinder seien dort gefährdet. Deren Gefährdungslage sei mit der des Beschwerdeführers vergleichbar.</w:t>
      </w:r>
    </w:p>
    <w:p>
      <w:r>
        <w:rPr>
          <w:b/>
        </w:rPr>
        <w:t>E. 5.2</w:t>
      </w:r>
    </w:p>
    <w:p>
      <w:r>
        <w:t>Der Beschwerdeführer wurde zu Beginn der direkten Anhörung gefragt, ob er den Dolmetscher gut verstehe, woraufhin er erklärte, er verstehe diesen gut, aber es wäre ihm lieber, wenn er Kurdisch sprechen könnte (vgl. A12/ S. 2 F 2). Daraufhin erklärte ihm der Befrager, dass diese Möglichkeit zur Zeit nicht bestehe, falls es aber auf Türkisch nicht gehen, solle er es sagen (vgl. A12/ S. 3 F3). Damit erklärte sich der Beschwerdeführer einverstanden. Im weiteren Verlauf derselben Anhörung erklärte der Beschwerdeführer auf entsprechenden Vorhalt hin, eigentlich verstehe er die Fragen gut, aber manche Worte verstehe er auf Türkisch nicht (vgl. A12/ S. 4 F21), woraufhin ihn der Befrager ermunterte, bei Unklarheiten jederzeit nachzufragen. Gegen Ende der Anhörung bejahte der Beschwerdeführer die Frage, ob er mit der Verständigung zufrieden gewesen sei (vgl. A12/ S. 8 F 58). Nachdem er die Frage, ob er alles habe sagen können, was ihm für sein Asylgesuch wichtig erscheine, nicht eindeutig beantworten konnte und er dies auf seine psychischen Probleme zurückführte, räumte ihm der Befrager eine kurze Pause ein, damit er ruhig überlegen konnte, ob noch weitere Probleme zu seiner Ausreise geführt hätten (vgl. A12/ S. 8 F 58). Nach der Pause erklärte der Beschwerdeführer auf die entsprechende Frage, er habe keine weiteren Gründe mehr (vgl. a.a.O. F 59). Bei dieser Sachlage besteht kein Anlass, an der Vollständigkeit des Protokolls zu zweifeln, weshalb der Beschwerdeführer bei seinen unterschriftlich bestätigten Aussagen zu behaften ist.</w:t>
      </w:r>
    </w:p>
    <w:p>
      <w:r>
        <w:rPr>
          <w:b/>
        </w:rPr>
        <w:t>E. 5.3</w:t>
      </w:r>
    </w:p>
    <w:p>
      <w:r>
        <w:t>Das BFM erachtete die Vorbringen des Beschwerdeführers als unglaubhaft. Für das Bundesverwaltungsgericht besteht nach Überprüfung der Akten keine Veranlassung, die Erwägungen des BFM zu beanstanden. Zwecks Vermeidung von Wiederholungen wird gestützt auf Art. 6 i.V.m. Art. 111a Abs. 2 AsylG sowie Art. 109 Abs. 3 BGG auf die angefochtene Verfügung verwiesen. Die Vorbringen in den Rechtsmitteleingaben sind nicht geeignet, eine Änderung der vorinstanzlichen Verfügung zu bewirken. Die beim Beschwerdeführer diagnostizierte posttraumatische Belastungsstörung bildet keinen Hinweis für asylrechtlich relevante Ereignisse (vgl. auch Urteile des Bundesverwaltungsgerichts D-5266/2006 vom 29. Januar 2008 E.3.4 S. 11 sowie D-6840/2006 vom 11. Mai 2007 E. 5.6 S. 10), zumal oben dargelegt wurde, dass die Asylvorbringen des Beschwerdeführers in Übereinstimmung mit der Vorinstanz als unglaubhaft zu erachten sind. Folglich bestehen keine stichhaltigen Hinweise für eine mit überwiegender Wahrscheinlichkeit bestehende asylrelevante Verfolgung. Die Behauptung des Beschwerdeführers, wonach er sich in derselben Gefährdungslage wie sein Onkel F._______ und dessen Familie befinde, vermag selbst bei Wahrunterstellung des nicht belegten Verwandschaftsverhältnisses nicht zu überzeugen. Wie sich nämlich den auf Antrag des Beschwerdeführers zugezogenen diesbezüglichen Akten ergibt, haben die Familienangehörigen von F._______ in ihren Anhörungen zu den Asylgründen keine eigenen Asylgründe geltend gemacht. (vgl. N (...) B42/ S.1, B41/ S. 7; B 40/ S. 6; B 39/ S. 6). Vielmehr erklärten sie ausdrücklich, sie seien nur wegen des Ehemannes beziehungsweise Vaters ausgereist. Ausserdem erklärte dessen älteste Tochter G._______ mit Schreiben vom 13. Februar 2009, sie möchte auf die Asyl- und Flüchtlingseigenschaft verzichten und im Gegenzug ihren Nüfus zurückerhalten, um ihre in der Türkei lebenden Verwandten besuchen zu können. Mit Erklärung vom 13. März 2009 verzichtete sie auf ihre Flüchtlingseigenschaft sowie auf das ihr in der Schweiz gewährte Asyl. Da sich der Beschwerdeführer selbst auf die vorgenannten Verwandten berief, ist davon auszugehen, dass ihm deren persönlichen Ausreisegründe beziehungsweise der Asylverzicht bekannt sein mussten, weshalb im Rahmen des Beschwerdeverfahrens in diesem Punkt weder Akteneinsicht noch Äusserungsmöglichkeit einzuräumen waren. Da die Tochter des Onkels auf die Flüchtlingseigenschaft verzichtete, ist eine drohende Reflexverfolgung des Beschwerde führenden Neffen zu verneinen.</w:t>
      </w:r>
    </w:p>
    <w:p>
      <w:r>
        <w:rPr>
          <w:b/>
        </w:rPr>
        <w:t>E. 5.4</w:t>
      </w:r>
    </w:p>
    <w:p>
      <w:r>
        <w:t>Schliesslich kann bezüglich der geltend gemachten Einberufung in den Militärdienst beziehungsweise einer allfälligen Bestrafung wegen Dienstversäumnis zur Vermeidung von Wiederholungen auf die konstante Praxis verwiesen werden (vgl. Entscheidungen und Mitteilungen der Schweizerischen Asylrekurskommission [EMARK] 2003 Nr. 2 E.6b.aa. mit Hinweisen).</w:t>
      </w:r>
    </w:p>
    <w:p>
      <w:r>
        <w:rPr>
          <w:b/>
        </w:rPr>
        <w:t>E. 5.5</w:t>
      </w:r>
    </w:p>
    <w:p>
      <w:r>
        <w:t>Aufgrund der vorstehenden Erwägungen erübrigt es sich, auf die weiteren Ausführungen in den Eingaben des Beschwerdeführers oder die zu den Akten gereichten Beweismittel im Einzelnen näher einzugehen, da sie am Ergebnis der vorgenommenen Würdigung nichts zu ändern vermögen. Nach dem Gesagten erfüllt der Beschwerdeführer die Flüchtlingseigenschaft gemäss Art. 3 AsylG nicht. Die Vorinstanz hat das Asylgesuch des Beschwerdeführers demnach zu Recht abgelehnt.</w:t>
      </w:r>
    </w:p>
    <w:p>
      <w:r>
        <w:rPr>
          <w:b/>
        </w:rPr>
        <w:t>E. 5.6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5.7</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den Wegweisungsvollzug zum heutigen Zeitpunkt klarerweise nicht als unzulässig erscheinen. Was die mit Arztbericht vom 16. September 2009 diagnostizierten psychischen Probleme des Beschwerdeführers anbelangt, ist festzuhalten, dass der Europäische Gerichtshof für Menschenrechte (EGMR) in seinem Urteil vom 20. März 1991, Serie A No. 201 i.S. Cruz Varas gegen Schweden (Beschwerde Nr. 46/1990/237307) entschieden hat, dass der Vollzug der "Ausweisung" von Personen, die an einer posttraumatischen Belastungsstörung leiden beziehungsweise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Allein die Tatsache, dass die Umstände der medizinischen Versorgung im Heimatland für den Betroffenen weniger vorteilhaft wären als jene, die er im Aufenthaltsstaat hat, ist für die Beurteilung unter dem Blickwinkel von Art. 3 EMRK nicht entscheidend (vgl. Urteil des EGMR vom 27. Mai 2008 i.S. N. gegen Vereinigtes Königreich [Grossbritannien], Ziffn. 34, 42, 43, 44, Beschwerde Nr. 26565/05).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Weder die politische noch die humanitäre Lage in der Türkei sprechen gegen die Zumutbarkeit des Wegweisungsvollzugs. In seinem Heimatland kann der Beschwerdeführer auf die dort bestehenden und nach Kenntnis des Bundesverwaltungsgerichts als ausreichend zu bezeichnenden psychiatrischen Behandlungsinstitutionen zurückgreifen (vgl. EMARK 1999 Nr. 5 E. 7.c S. 33). Der relativ junge Beschwerdeführer fand in seiner Heimat als Landwirt sein Auskommen. Er beherrscht zudem neben der kurdischen auch die türkische Sprache und verfügt in seinem Heimatland über ein hinreichendes soziales Beziehungsnetz, welches ihm bei einer Reintegration, soweit erforderlich, behilflich sein kann. Nach dem Gesagten erweist sich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20. August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