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D-4480/2014 vom 21. November 2014</w:t>
      </w:r>
    </w:p>
    <w:p>
      <w:r>
        <w:t>Bundesverwaltungsgericht, 2014-11-21, DE</w:t>
      </w:r>
    </w:p>
    <w:p>
      <w:r>
        <w:rPr>
          <w:b/>
        </w:rPr>
        <w:t xml:space="preserve">Quelle: </w:t>
      </w:r>
      <w:r>
        <w:t>https://mcp.opencaselaw.ch/entscheid/bvger_D-4480_2014</w:t>
      </w:r>
    </w:p>
    <w:p>
      <w:r>
        <w:t>FR: TAF D-4480/2014 du 21 novembre 2014</w:t>
      </w:r>
    </w:p>
    <w:p>
      <w:r>
        <w:t>IT: TAF D-4480/2014 del 21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BGG).</w:t>
      </w:r>
    </w:p>
    <w:p>
      <w:r>
        <w:rPr>
          <w:b/>
        </w:rPr>
        <w:t>E. 1.2</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und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alt Art. 10 Abs. 1 der Asylverordnung 1 vom 11. August 1999 über Verfahrensfragen [AsylV 1, SR 142.311]). Ist die Durchführung einer Befragung nicht möglich, so wird die asylsuchende Person von der Vertretung aufgefordert, ihre Asylgründe schriftlich festzuhalten (aArt. 10 Abs. 2 AsylV 1).</w:t>
      </w:r>
    </w:p>
    <w:p>
      <w:r>
        <w:rPr>
          <w:b/>
        </w:rPr>
        <w:t>E. 6.2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schweizerischen Botschaft in Khartum verzichtet und den Beschwerdeführenden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Der Beschwerdeführer hält sich mit seiner Familie bereits seit 1984 in C._________ auf, was den Schluss zulässt, dass die dortigen Schwierigkeiten nicht unüberwindbar sind. Im Weiteren ist festzuhalten, dass der Beschwerdeführer, sollte er sich mit seiner Familie an seinem derzeitigen Aufenthaltsort nicht mehr hinreichend sicher fühlen und sich die dortige sonstige Lebenssituation verschlechtern, über die Möglichkeit verfügt, sich als registrierter Flüchtling mit seiner Familie beim UNHCR zu melden und in dem ihnen zugewiesenen Camp zu leben. Durch das UNHCR erhält der Beschwerdeführer auch Zugang zur kostenlosen medizinischen Versorgung. Dem Beschwerdeführer ist es daher zuzumuten, sich weiterhin im Sudan aufzuhalten, zumal eine schwierige Lebenssituation allein keinen Grund für eine Einreisebewilligung darstellt. Ferner weist der Beschwerdeführer kein Profil auf, welches ihn mit erheblicher Wahrscheinlichkeit zum Ziel eines Entführungsversuches machen würde. Mit der Vorinstanz ist nicht davon auszugehen, dass der äthiopische Staat nach so langer Zeit noch ein Verfolgungsinteresse am Beschwerdeführer hat, zumal dieser trotz seines angeblichen politischen Engagements für die EDU über kein geeignetes Risikoprofil verfügt. Auch die geltend gemachte Entführung der Tochter des Beschwerdeführers als unbestritten einschneidendes Ereignis vermag an dieser Einschätzung nichts zu ändern, da die­ses aus objektiver Sicht nicht geeignet ist, eine Furcht vor künftiger Verfolgung zu begründen, wurden doch der Beschwerdeführer und seine Fa­milie nach diesem Ereignis von der unbekannten Täterschaft nicht weiter behelligt.</w:t>
      </w:r>
    </w:p>
    <w:p>
      <w:r>
        <w:rPr>
          <w:b/>
        </w:rPr>
        <w:t>E. 6.6</w:t>
      </w:r>
    </w:p>
    <w:p>
      <w:r>
        <w:t>Zusammenfassend ist festzuhalten, dass vorliegend keine konkreten Hinweise dafür bestehen, der Beschwerdeführer und seine Familie seien gegenwärtig einer Gefährdung ausgesetzt oder hätten eine unmittelbar drohende Deportation nach Äthiopien oder eine Entführung durch terroristische Gruppen zu befürchten. An dieser Einschätzung vermögen weder die Ausführungen in der Beschwerde, die sich in einer Wiederholung der bereits im Rahmend es vorinstanzlichen Verfahrens geltend gemachten Vorbringen und allgemeinen Ausführungen erschöpfen, noch die im Rah­men des vorinstanzlichen Verfahrens eingereichten Beweismittel, welche lediglich die nicht in Zweifel gezogenen Vorbringen stützen, etwas zu ändern. Schliesslich ist festzustellen, dass keine nahen Verwandten oder Bezugs­personen der Beschwerdeführenden in der Schweiz leben und den Akten auch sonst keine Hinweise auf Anknüpfungspunkte zur Schweiz zu entnehmen sind.</w:t>
      </w:r>
    </w:p>
    <w:p>
      <w:r>
        <w:rPr>
          <w:b/>
        </w:rPr>
        <w:t>E. 7</w:t>
      </w:r>
    </w:p>
    <w:p>
      <w:r>
        <w:t>Der Beschwerdeführer vermochte insgesamt nicht aufzuzeigen, dass er auf die Schutzgewährung durch die Schweiz angewiesen ist beziehungsweise ihm gerade die Schweiz den erforderlichen Schutz gewähren muss. Der weitere Verbleib im Sudan ist ihm nach dem Gesagten zuzumuten und die Vorinstanz hat ihm zu Recht die Einreise in die Schweiz verweigert und dessen Asylgesuch abgelehnt. 8.Aus diesen Erwägungen ergibt sich, dass die angefochtene Verfügung Bundesrecht nicht verletzt und den rechtserheblichen Sachverhalt richtig und vollständig feststellt (Art. 106 Abs. 1 AsylG). Die Beschwerde ist nach dem Gesagten abzuweisen. 9.Bei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