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D-4478/2019 vom 28. Januar 2020</w:t>
      </w:r>
    </w:p>
    <w:p>
      <w:r>
        <w:t>Bundesverwaltungsgericht, 2020-01-28, DE</w:t>
      </w:r>
    </w:p>
    <w:p>
      <w:r>
        <w:rPr>
          <w:b/>
        </w:rPr>
        <w:t xml:space="preserve">Quelle: </w:t>
      </w:r>
      <w:r>
        <w:t>https://mcp.opencaselaw.ch/entscheid/bvger_D-4478_2019</w:t>
      </w:r>
    </w:p>
    <w:p>
      <w:r>
        <w:t>FR: TAF D-4478/2019 du 28 janvier 2020</w:t>
      </w:r>
    </w:p>
    <w:p>
      <w:r>
        <w:t>IT: TAF D-4478/2019 del 28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Hinsichtlich die Dispositivziffern vier und fünf der angefochtenen Verfügung (Wegweisungsvollzug) ist der Anfechtungsgegenstand aufgrund der Wiedererwägung des SEM vom 16. Oktober 2019 weggefallen, weshalb die Beschwerde in diesem Punkt als gegenstandslos geworden abzuschreiben ist (vgl. Art. 58 VwVG). Im Sinne einer Klarstellung ist darauf hinzuweisen, dass das SEM in Ziffer eins der Wiedererwägung vom 16. Oktober 2019 fälschlicherweise auch die Ziffer drei der Verfügung vom 5. August 2019 (Wegweisung) aufhob. Aus der Begründung der Wiedererwägungsverfügung wird jedoch klar, dass lediglich die Aufhebung des Wegweisungsvollzugs (d.h. der Dispositivziffern vier und fünf), nicht aber der Wegweisung beabsichtigt war.</w:t>
      </w:r>
    </w:p>
    <w:p>
      <w:r>
        <w:rPr>
          <w:b/>
        </w:rPr>
        <w:t>E. 5.1</w:t>
      </w:r>
    </w:p>
    <w:p>
      <w:r>
        <w:t>Die Beschwerdeführenden rügen eine Verletzung des rechtlichen Gehörs, da ihnen keine Einsicht in die Botschaftsabklärung gewährt worden sei.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verbunden.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Gilt es den Umfang des Akteneinsichtsrechts zu bestimmen, kommt es jedoch auf die im konkreten Fall objektive Bedeutung eines Aktenstückes für die Sachverhaltsfeststellung an und nicht auf die Einstufung des Beweismittels durch die Behörden als internes oder gar geheimes Papier.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Das Recht auf Akteneinsicht kann aber eingeschränkt werden, wenn ein überwiegendes Interesse an deren Geheimhaltung vorhanden ist (vgl. Art. 27 VwVG).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zum Ganzen BVGE 2011/37 E. 5.4.1 m.w.H.).</w:t>
      </w:r>
    </w:p>
    <w:p>
      <w:r>
        <w:rPr>
          <w:b/>
        </w:rPr>
        <w:t>E. 5.2</w:t>
      </w:r>
    </w:p>
    <w:p>
      <w:r>
        <w:t>Das SEM veranlasste am 4. Februar 2016 eine Botschaftsabklärung (vgl. Botschaftsanafrage [act. A26]), welche dem SEM am 10. August 2016 übermittelt wurde (act. A32). Das SEM qualifiziert sowohl die Botschaftsanfrage als auch das Antwortschreiben der Botschaft als interne Akten, weshalb sie den Beschwerdeführenden nicht offengelegt wurden. Diese Qualifizierung ist unzutreffend. Interne Akten sind Dokumente, denen für die Behandlung eines Falles kein Beweischarakter zukommt. Vielmehr dienen sie ausschliesslich der verwaltungsinternen Meinungsbildung, weshalb sie nur für den verwaltungsinternen Gebrauch bestimmt sind, wie etwa Entwürfe, Anträge, Notizen oder Mitberichte. In solche Dokumente ist keine Einsicht zu gewähren, um zu verhindern, dass die interne Meinungsbildung der Verwaltung über die entscheidenden Aktenstücke und die erlassenen begründeten Verfügungen hinaus vollständig vor der Öffentlichkeit ausgebreitet wird (vgl. BGE 115 V 303 E. 2g/aa). Bei Botschaftsanfragen und Botschaftsabklärungen handelt es sich nicht um interne Akten, weshalb sie grundsätzlich der Akteneinsicht unterliegen (vgl. EMARK 1994 Nr. 1 E. 3c). Dies bedeutet zwar nicht, dass in diese stets vollständige Einsicht zu gewähren ist. Vielmehr können entgegenstehende Geheimhaltungsinteressen unter Berücksichtigung des Grundsatzes der Verhältnismässigkeit die Einsicht einschränken und etwa sensible Passagen abgedeckt oder lediglich zusammengefasst offengelegt werden. Das SEM hat es aber unterlassen, unter Abwägung der gegenläufigen Interessen (eingeschränkt) Akteneinsicht zu gewähren. Die Vorinstanz liess dadurch die Beschwerdeführenden gänzlich im Unklaren über die von ihr getätigten Abklärungen und eröffnete ihnen zu keinem Zeitpunkt die Möglichkeit, zu den gewonnenen Informationen Stellung zu nehmen. Dadurch verletzt die Vorinstanz den Anspruch auf rechtliches Gehör in schwerwiegender Weise.</w:t>
      </w:r>
    </w:p>
    <w:p>
      <w:r>
        <w:rPr>
          <w:b/>
        </w:rPr>
        <w:t>E. 5.3</w:t>
      </w:r>
    </w:p>
    <w:p>
      <w:r>
        <w:t>Der Anspruch auf rechtliches Gehör besteht unabhängig davon, ob dessen Achtung den Ausgang eines konkreten Verfahrens zu beeinflussen vermag; es handelt sich um einen Anspruch formeller Natur.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(vgl. BVGE 2014/22 E. 5.3 m.w.H.). Vorliegend handelt es sich um eine schwerwiegende Verletzung des Anspruchs auf rechtliches Gehör, weshalb eine Heilung ausscheidet.</w:t>
      </w:r>
    </w:p>
    <w:p>
      <w:r>
        <w:rPr>
          <w:b/>
        </w:rPr>
        <w:t>E. 5.4</w:t>
      </w:r>
    </w:p>
    <w:p>
      <w:r>
        <w:t>Die Beschwerde ist somit gutzuheissen, soweit die Aufhebung der Dispositivziffern eins bis drei (Flüchtlingseigenschaft, Asyl und Wegweisung) der angefochtenen Verfügung beantragt wurde. Die vorinstanzliche Verfügung vom 5. August 2019 ist in diesen Punkten aufzuheben und die Sache in Anwendung von Art. 61 Abs. 1 in fine VwVG zur Gewährung des rechtlichen Gehörs und Neubeurteilung ans SEM zurückzuweisen. Das SEM hat den Beschwerdeführenden unter Berücksichtigung etwaiger der Einsicht entgegenstehender Interessen die Botschaftsanfrage sowie die -abklärung offenzulegen und ihnen Gelegenheit zur Stellungnahme zu bieten.</w:t>
      </w:r>
    </w:p>
    <w:p>
      <w:r>
        <w:rPr>
          <w:b/>
        </w:rPr>
        <w:t>E. 6</w:t>
      </w:r>
    </w:p>
    <w:p>
      <w:r>
        <w:t>Bei diesem Ausgang des Verfahrens sind keine Kosten zu erheben (Art. 63 Abs. 1 und 2 VwVG sowie Art. 5 des Reglements vom 21. Februar 2008 über die Kosten und Entschädigungen vor dem Bundesverwaltungsgericht [VGKE, SR 173.320.2]).</w:t>
      </w:r>
    </w:p>
    <w:p>
      <w:r>
        <w:rPr>
          <w:b/>
        </w:rPr>
        <w:t>E. 7</w:t>
      </w:r>
    </w:p>
    <w:p>
      <w:r>
        <w:t>Den vertretenen Beschwerdeführenden ist angesichts ihres Obsiegens in Anwendung von Art. 64 VwVG sowie Art. 7 Abs. 1 VGKE eine Entschädigung für die ihnen notwendigerweise erwachsenen Parteikosten zuzusprechen. Der in der Kostennote ausgewiesene Zeitaufwand von zehn Stunden erscheint den Verfahrensumständen als angemessen und ist aufgrund der weiteren Beschwerdeeingaben auf insgesamt elf Stunden zu erhöhen. Die von der Vorinstanz auszurichtende Parteientschädigung ist demnach auf insgesamt Fr. 1'777.- (Fr. 1'650.- [11x150] plus Fr. 127.05 [Mehrwertsteuer]) festzusetzen (inkl. Auslagen und Mehrwertsteuerzuschlag im Sinne von Art. 9 Abs. 1 Bst. c VGKE). Die Rechtsvertreterin der Beschwerdeführenden ist bezüglich ihrer Kostennote darauf hinzuweisen, dass die Mehrwertsteuer seit 1. Januar 2018 nicht mehr 8 Prozent, sondern 7,7 Prozent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