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D-4477/2014 vom 28. August 2014</w:t>
      </w:r>
    </w:p>
    <w:p>
      <w:r>
        <w:t>Bundesverwaltungsgericht, 2014-08-28, DE</w:t>
      </w:r>
    </w:p>
    <w:p>
      <w:r>
        <w:rPr>
          <w:b/>
        </w:rPr>
        <w:t xml:space="preserve">Quelle: </w:t>
      </w:r>
      <w:r>
        <w:t>https://mcp.opencaselaw.ch/entscheid/bvger_D-4477_2014</w:t>
      </w:r>
    </w:p>
    <w:p>
      <w:r>
        <w:t>FR: TAF D-4477/2014 du 28 août 2014</w:t>
      </w:r>
    </w:p>
    <w:p>
      <w:r>
        <w:t>IT: TAF D-4477/2014 del 28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 Gestützt auf Art. 111a Abs. 1 AsylG wurde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Beschwerdeführerin wurde nicht zu ihrem Asylgesuch befragt. Sie legte ihre Vorbringen jedoch bereits im Asylgesuch vom 26. Juni 2012 schriftlich dar (vgl. Sachverhalt Bst. A). Mit Verfügung vom 13. November 2013 wurde sie unter Beilage eines explizit aufgelisteten Fragenkatalogs gebeten, für die vollständige Erstellung des rechtserheblichen Sachverhalts die entsprechenden Fragen vollständig und präzise zu beantworten (vgl. Sachverhalt Bst. B). Hierzu nahm die Beschwerdeführerin am 12. Mai 2014 schriftlich Stellung (vgl. Sachverhalt Bst. C). Der entscheidwesentliche Sachverhalt) erscheint angesichts der schriftlichen Darlegung der Asylgründe (vgl. Sachverhalt Bst. A und C) soweit erstellt, dass die entscheidrelevanten Elemente vorliegen.</w:t>
      </w:r>
    </w:p>
    <w:p>
      <w:r>
        <w:rPr>
          <w:b/>
        </w:rPr>
        <w:t>E. 5.2.2</w:t>
      </w:r>
    </w:p>
    <w:p>
      <w:r>
        <w:t>Bei dieser Sachlage bestand keine Veranlassung, die Beschwerde­führerin vorgängig eines Entscheides durch eine schweizerische Vertretung zusätzlich persönlich befragen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Die Beschwerdeführerin verneinte ausdrücklich, jemals in Eritrea gewesen zu sein. In Bezug auf dieses Land macht sie somit keinerlei Verfolgungsmassnahmen durch die eritreischen Behörden geltend. Mithin lie­gen keine Gründe im Sinne von Art. 3 AsylG vor. Der Vollständigkeit halber sei in diesem Zusammenhang noch angeführt, dass der Verweis auf das Urteil des Bundesverwaltungsgerichts E-6893/2011 vom 6. Juni 2012 E. 6.4 unzutreffend ist. In diesem zu beurteilenden Fall wurde - im Unterschied zum vorliegenden - eine Verfolgungssituation in Bezug auf Eritrea als unglaubhaft erachtet und die illegale Ausreise aus diesem Land festgestellt (subjektiver Nachfluchtgrund; vgl. BVGE 2011/10 E. 7), was das urteilende Gericht von der Prüfung der weiteren Voraussetzungen der Erteilung einer Einreisebewilligung im asylrechtlichen Auslandverfahren ent­band. Aus dem unzutreffenden Verweis des BFM in der angefochtenen Verfügung vermag die Beschwerdeführerin aber nichts zu ihren Gunsten abzuleiten.</w:t>
      </w:r>
    </w:p>
    <w:p>
      <w:r>
        <w:rPr>
          <w:b/>
        </w:rPr>
        <w:t>E. 6.2</w:t>
      </w:r>
    </w:p>
    <w:p>
      <w:r>
        <w:t>Wie oben unter E. 5.3 ausgeführt, ist für die Er­teilung der Einreisebewilligung die Schutzbedürftigkeit der be­treffenden Person ausschlaggebend, mithin die Prüfung der Fragen, ob eine Gefährdung im Sinne von Art. 3 AsylG glaubhaft gemacht wird und ob der Verbleib am Aufenthaltsort für die Dauer der Sachverhaltsabklärung zugemutet werden kann. Die Beschwerdeführerin wurde gemäss ihren Angaben im Sudan vom UNHCR und den sudanesischen Behörden als eritreischer Flüchtling anerkannt. In Bezug auf dieses Land machte sie keine gezielt gegen sie gerichteten nachteiligen Massnahmen der dortigen Behörden aus einem Grund nach Art. 3 AsylG geltend. Konkrete Anhaltspunkte, die auf eine (asyl-)relevante Gefährdungssituation schliessen lassen, sind ihrem Sachvortrag insgesamt nicht zu entnehmen. Sie verweist vielmehr auf die widrigen Lebensumstände, denen sie als alleinerziehende Mutter von zwei Kindern im Sudan ausgesetzt ist. Ohne die entsprechenden schwierigen Bedingungen in Abrede zu stellen, ist aber festzustellen, dass damit noch keine individuelle Betroffenheit im Sinne des Asylgesetzes dargetan wird. Angesichts dieser Sachlage bestand somit keine Veranlassung, die Beschwerdeführerin zur Sachverhaltsabklärung einreisen zu lassen, was automatisch auch die Ablehnung des Asylgesuchs nach sich zieht.</w:t>
      </w:r>
    </w:p>
    <w:p>
      <w:r>
        <w:rPr>
          <w:b/>
        </w:rPr>
        <w:t>E. 6.3</w:t>
      </w:r>
    </w:p>
    <w:p>
      <w:r>
        <w:t>Die Beschwerdeführerin vermochte insgesamt nicht aufzuzeigen, dass sie auf die Schutzgewährung durch die Schweiz angewiesen ist beziehungsweise ihr gerade die Schweiz den erforderlichen Schutz gewähren muss.</w:t>
      </w:r>
    </w:p>
    <w:p>
      <w:r>
        <w:rPr>
          <w:b/>
        </w:rPr>
        <w:t>E. 7</w:t>
      </w:r>
    </w:p>
    <w:p>
      <w:r>
        <w:t>Aus diesen Erwägungen ergibt sich, dass die angefochtene Verfügung Bundesrecht nicht verletzt sowie den rechtserheblichen Sachverhalt richtig und vollständig feststellt (Art. 106 Abs. 1 AsylG). Das BFM hat das Asylgesuch und das Gesuch um Einreise in die Schweiz zu Recht abgelehnt. Die Beschwerde ist nach dem Gesagten abzuweisen.</w:t>
      </w:r>
    </w:p>
    <w:p>
      <w:r>
        <w:rPr>
          <w:b/>
        </w:rPr>
        <w:t>E. 8</w:t>
      </w:r>
    </w:p>
    <w:p>
      <w:r>
        <w:t>Bei diesem Ausgang des Verfahrens wären die Kosten grundsätzlich der Beschwerdeführerin aufzuerlegen (Art. 63 Abs. 1 VwVG). Aus verwal­tungsökonomischen Gründen sowie in Anwendung von Art. 63 Abs. 1 letzter Satz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