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D-4477/2008 vom 8. Juni 2011</w:t>
      </w:r>
    </w:p>
    <w:p>
      <w:r>
        <w:t>Bundesverwaltungsgericht, 2011-06-08, DE</w:t>
      </w:r>
    </w:p>
    <w:p>
      <w:r>
        <w:rPr>
          <w:b/>
        </w:rPr>
        <w:t xml:space="preserve">Quelle: </w:t>
      </w:r>
      <w:r>
        <w:t>https://mcp.opencaselaw.ch/entscheid/bvger_D-4477_2008</w:t>
      </w:r>
    </w:p>
    <w:p>
      <w:r>
        <w:t>FR: TAF D-4477/2008 du 8 juin 2011</w:t>
      </w:r>
    </w:p>
    <w:p>
      <w:r>
        <w:t>IT: TAF D-4477/2008 del 8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vorliegend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bringt in der Beschwerde im Ergebnis vor, das BFM habe den Anspruch auf rechtliches Gehör verletzt, indem es sich mit zentralen Vorbringen nicht befasst habe und folglich seiner Begründungspflicht nicht nachgekommen sei.</w:t>
      </w:r>
    </w:p>
    <w:p>
      <w:r>
        <w:rPr>
          <w:b/>
        </w:rPr>
        <w:t>E. 4.2</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Entscheidungen und Mitteilungen der Schweizerischen Asylrekurskommission [EMARK] 2004 Nr. 38 E. 6.3 S. 264).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(vgl. BVGE 2008/47 E. 3.2 S. 674 f., EMARK 2006 Nr. 24 E. 5.1 S. 256). Im Asylverfahren - wie im übrigen Verwaltungsverfahren - gilt im Weiteren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rechtlich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2008/24 E. 7.2, BVGE 2007/21 E. 11.1.3 mit Hinweis auf EMARK 2003 Nr. 13; vgl. auch EMARK 2004 Nr. 16 E. 7a und 2004 Nr. 30 E. 5.3.1).</w:t>
      </w:r>
    </w:p>
    <w:p>
      <w:r>
        <w:rPr>
          <w:b/>
        </w:rPr>
        <w:t>E. 4.3</w:t>
      </w:r>
    </w:p>
    <w:p>
      <w:r>
        <w:t>Das BFM führte zur Begründung seines ablehnenden Asylentscheids aus, die Sachverhaltsdarstellung der Beschwerdeführerin sei unstimmig. Die Beschwerdeführerin sei gemäss eigenen Angaben für die Partei APARECO aktiv gewesen und habe unter anderem Reden gehalten, zu Märschen aufgefordert und Flugblätter verteilt. Vor diesem Hintergrund erstaune es, dass sie nicht wisse, wofür die Abkürzung der Partei stehe. Zudem habe sie keine hinreichenden Aussagen zu den Parteizielen machen können. Die Vorbringen seien folglich in wesentlichen Punkten zu wenig konkret, detailliert und differenziert dargelegt worden, um den Eindruck zu vermitteln, sie selbst habe das Geschilderte auch erlebt. Daneben habe sich die Beschwerdeführerin in Bezug auf das Datum, an welchem sie der Partei beigetreten sei, widersprochen. Letztlich sei die Schilderung bezüglich ihres Spitalaufenthaltes und der anschliessenden Flucht nicht mit der allgemeinen Erfahrung oder der Logik des Handelns in Einklag zu bringen. Es könne nicht geglaubt werden, dass zwei Armeeangehörige ihre Dienstpflicht in der dargestellten Weise verletzt haben sollten, zumal diese gemäss ihren eigenen Aussagen eigens für ihre Bewachung aufgeboten gewesen seien. Die Vorbringen der Beschwerdeführerin vermöchten den Anforderungen an die Glaubwürdigkeit gemäss Art. 7 AsylG nicht standzuhalten, so dass ihre Asylrelevanz nicht geprüft werden müsse. Demzufolge erfülle sie die Flüchtlingseigenschaft nicht, weshalb das Asylgesuch abzulehnen sei.</w:t>
      </w:r>
    </w:p>
    <w:p>
      <w:r>
        <w:rPr>
          <w:b/>
        </w:rPr>
        <w:t>E. 4.4</w:t>
      </w:r>
    </w:p>
    <w:p>
      <w:r>
        <w:t>Aus den Akten ergibt sich, dass die Beschwerdeführerin bei der Kurzbefragung vom 9. Januar 2008 eine geschlechtsspezifische Verfolgung geltend machte, weshalb die Anhörung vom 24. Januar 2008 nur von Personen gleichen Geschlechts durchgeführt wurde (BFM Akten A1/11 und A12/21). Nachdem die Beschwerdeführerin ihre Asylgründe anlässlich der Anhörung frei erzählen konnte, wurde sie konkret zu einzeln geschilderten Ereignissen befragt. Insbesondere gab sie Auskunft zu ihrem Gefängnisaufenthalt sowie den dort stattgefunden Vergewaltigungen (BFM Akten A12/21 S. 13 f.). Sie beantwortete auch Fragen zu ihrer - sowohl physischen als auch psychischen - Verfassung (BFM Akten A12/21 S. 16 und 17). Folglich lässt sich schliessen, dass es sich hierbei um zentrale Elemente des Asylvorbringens der Beschwerdeführerin handelte und das BFM entsprechende Sachverhaltsermittlungen anstellte. Obwohl die Vorinstanz die Wichtigkeit dieser Vorbringen bereits bei der Kurzbefragung erkannte und sich vertieft in der Anhörung mit Fragen damit auseinandersetzte, stellte sie weder bezüglich der behaupteten Vergewaltigungen noch der Schläge entsprechende Erwägungen in der angefochtenen Verfügung an. Eine Begründung für das Fehlen der Auseinandersetzung mit diesen zentralen Asylvorbringen ist nicht ersichtlich. Demzufolge ist festzustellen, dass die Vorinstanz den Anspruch der Beschwerdeführerin auf rechtliches Gehör verletzt hat.</w:t>
      </w:r>
    </w:p>
    <w:p>
      <w:r>
        <w:rPr>
          <w:b/>
        </w:rPr>
        <w:t>E. 4.5</w:t>
      </w:r>
    </w:p>
    <w:p>
      <w:r>
        <w:t>Der Anspruch auf rechtliches Gehör ist formeller Natur, weshalb seine Verletzung grundsätzlich ohne weiteres - das heisst ungeachtet der materiellen Auswirkungen - zur Aufhebung des daraufhin ergangenen Entscheides führt (vgl. BVGE 2008/47 E. 3.3.4 S. 376 f. und dort zitierte Urteile). Aus prozessökonomischen Gründen ist eine Heilung von Gehörsverletzungen auf Beschwerdeebene zwar möglich (vgl. BVGE 2008/47 E. 3.3.4 S. 676 f. mit weiteren Hinweisen), indessen ist der vorliegend festgestellte Mangel als schwerwiegend zu erachten, für dessen Heilung im Rahmen des Beschwerdeverfahrens kein Raum besteht.</w:t>
      </w:r>
    </w:p>
    <w:p>
      <w:r>
        <w:rPr>
          <w:b/>
        </w:rPr>
        <w:t>E. 5</w:t>
      </w:r>
    </w:p>
    <w:p>
      <w:r>
        <w:t>Die Beschwerde ist daher im Sinne der Erwägungen gutzuheissen. Bei dieser Sachlage erübrigt es sich, auf die weiteren Vorbringen und Anträge einzugehen. Die Verfügung vom 29. Mai 2008 ist aufzuheben und die Sache zur Neubeurteilung an das BFM zurückzuweisen (Art. 61 Abs. 1 VwVG).</w:t>
      </w:r>
    </w:p>
    <w:p>
      <w:r>
        <w:rPr>
          <w:b/>
        </w:rPr>
        <w:t>E. 6.1</w:t>
      </w:r>
    </w:p>
    <w:p>
      <w:r>
        <w:t>Bei diesem Ausgang des Verfahrens sind keine Verfahrenskosten aufzuerlegen (Art. 63 Abs. 1 und 2 VwVG). Aus diesem Grunde ist der am 13. August 2008 geleistete Kostenvorschuss von Fr. 600.- der Beschwerdeführerin zurückzuerstatten.</w:t>
      </w:r>
    </w:p>
    <w:p>
      <w:r>
        <w:rPr>
          <w:b/>
        </w:rPr>
        <w:t>E. 6.2</w:t>
      </w:r>
    </w:p>
    <w:p>
      <w:r>
        <w:t>Obsiegende Parteien haben Anspruch auf eine Parteientschädigung für die ihnen erwachsenen notwendigen Kosten (Art. 64 Abs. 1 VwVG; Art. 7 des Reglements vom 21. Februar 2008 über die Kosten und Entschädigungen vor dem Bundesverwaltungsgericht [VGKE, SR 173.320.2]). Nachdem seitens der Rechtsvertretung keine Kostennote eingereicht wurde, ist die Parteientschädigung auf Grund der Akten festzulegen (Art. 14 Abs. 2 in fine VGKE). Unter Berücksichtigung der massgeblichen Bemessungsfaktoren (Art. 8 ff. VGKE) ist diese auf Fr. 900.- (inkl. Auslagen und Mehrwertsteuer) festzusetzen und das BFM ist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