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D-4472/2023 vom 29. November 2023</w:t>
      </w:r>
    </w:p>
    <w:p>
      <w:r>
        <w:t>Bundesverwaltungsgericht, 2023-11-29, DE</w:t>
      </w:r>
    </w:p>
    <w:p>
      <w:r>
        <w:rPr>
          <w:b/>
        </w:rPr>
        <w:t xml:space="preserve">Quelle: </w:t>
      </w:r>
      <w:r>
        <w:t>https://mcp.opencaselaw.ch/entscheid/bvger_D-4472_2023</w:t>
      </w:r>
    </w:p>
    <w:p>
      <w:r>
        <w:t>FR: TAF D-4472/2023 du 29 novembre 2023</w:t>
      </w:r>
    </w:p>
    <w:p>
      <w:r>
        <w:t>IT: TAF D-4472/2023 del 29 novembre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i.V.m. Art. 10 Covid-19-Verordnung Asyl [SR 142.318]; Art. 48 Abs. 1 sowie Art. 52 Abs. 1 VwVG). Auf die Beschwerde ist einzutreten.</w:t>
      </w:r>
    </w:p>
    <w:p>
      <w:r>
        <w:t>D-4472/2023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w:t>
      </w:r>
    </w:p>
    <w:p>
      <w:r>
        <w:rPr>
          <w:b/>
        </w:rPr>
        <w:t>E. 4.2.2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w:t>
      </w:r>
    </w:p>
    <w:p>
      <w:r>
        <w:t>D-4472/2023 Seite 6 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4.2.3</w:t>
      </w:r>
    </w:p>
    <w:p>
      <w:r>
        <w:t>Ausgangspunkt für die Beurteilung der Flüchtlingseigenschaft ist die Frage nach der zum Zeitpunkt der Ausreise vorhandenen Verfolgung oder begründeten Furcht vor einer solchen. Die Situation zum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BVGE 2008/4 E. 5.4, WALTER STÖCKLI, Asyl, in: Ueber- sax/Rudin/Hugi Yar/Geiser/Vetterli [Hrsg.], Ausländerrecht, 3.Aufl., Basel 2022, Rz. 14.38).</w:t>
      </w:r>
    </w:p>
    <w:p>
      <w:r>
        <w:rPr>
          <w:b/>
        </w:rPr>
        <w:t>E. 5</w:t>
      </w:r>
    </w:p>
    <w:p>
      <w:r>
        <w:t>Das SEM kam in der angefochtenen Verfügung zum Schluss, die Vorbrin- gen des Beschwerdeführers hielten den Anforderungen an die Flüchtlings- eigenschaft gemäss Art. 3 AsylG nicht stand. Es lägen keine objektiven Elemente dafür vor, dass der Beschwerdeführer Opfer von Gewalt gewe- sen wäre oder vor seiner Ausreise von den türkischen Behörden in irgend- einer Weise verfolgt worden oder Gefahr gelaufen wäre, einer solchen Maßnahme ausgesetzt zu werden. So habe er angegeben, dass in der Tür- kei kein Strafverfahren gegen ihn hängig sei, vom (…) 2022 bis zu seiner Ausreise ohne Probleme in seinem Heimatdorf habe leben können und es ihm möglich gewesen sei, mit seiner Identitätskarte legal auszureisen. Bei den Festnahmen hätten ihn die türkischen Behörden nie mit besonderer Härte behandelt und er sei jeweils wieder freigelassen worden. Auch das von ihm eingereichte HDP-Schreiben konkretisiere seine Befürchtungen nicht, würden doch darin nur die von ihm selbst erwähnten Aktivitäten für die Partei beschrieben. Mithin sei seine Furcht objektiv unbegründet. Des Weiteren reiche der Umstand, dass er für die legale HDP aktiv gewesen sei und sich die Behörden für ihn interessiert hätten, für das Vorliegen einer für die Anerkennung der Flüchtlingseigenschaft erforderlichen begründe- ten Furcht vor Verfolgung nicht aus. Seine Ausführungen belegten, dass er innerhalb der HDP keine wichtige Position innegehabt habe, die ihn einer solchen Verfolgung aussetzen würde. Daher sei es unwahrscheinlich, dass seine Befürchtungen, wegen seiner politischen Aktivitäten von den türki-</w:t>
      </w:r>
    </w:p>
    <w:p>
      <w:r>
        <w:t>D-4472/2023 Seite 7 schen Behörden verfolgt zu werden, berechtigt seien. Diese Schlussfolge- rung gelte trotz des Verbots der DTP durch ein Urteil des türkischen Ver- fassungsgerichts vom Dezember 2009. In der Zwischenzeit hätten die neuen Parteien DBP (ehemals BDP) und HDP, die legal aktiv seien, die Nachfolge angetreten. Ähnlich wie in der Vergangenheit am Rande des Verbots der Parteien DEHAP und HADEP hätten die einfachen Mitglieder der DTP keinen Grund, nachträgliche Strafverfahren oder andere schwer- wiegende Nachteile wegen der damals legalen politischen Tätigkeit zu- gunsten dieser Partei zu befürchten. In Anbetracht dessen sei die vom Be- schwerdeführer geltend gemachte Furcht wegen seiner Aktivitäten zuguns- ten der HDP für die Anerkennung der Flüchtlingseigenschaft nicht entschei- dend. Was die Befürchtung einer Reflexverfolgung im Zusammenhang mit Fami- lienmitgliedern anbelangt, die der Unterstützung der PKK beschuldigt wor- den seien, verwies das SEM auf die Kriterien, die im Grundsatzurteil der damaligen Schweizerischen Asylrekurskommission (ARK) vom 8. Septem- ber 2005 entwickelt worden seien und heute noch Geltung beanspruchten (vgl. Entscheidungen und Mitteilungen der ARK [EMARK] 2005 Nr. 21 be- ziehungsweise Urteile des Bundesverwaltungsgerichts E-6587/2007 vom 25. Oktober 2010 und E-6244/2016 vom 9. Mai 2018). Nach dem Gesag- ten enthielten die Akten keine Anhaltspunkte für eine begründete Furcht, in naher Zukunft reflexartiger Verfolgung wegen Familienangehörigen ausge- setzt zu werden.</w:t>
      </w:r>
    </w:p>
    <w:p>
      <w:r>
        <w:rPr>
          <w:b/>
        </w:rPr>
        <w:t>E. 6.1</w:t>
      </w:r>
    </w:p>
    <w:p>
      <w:r>
        <w:t>Das Bundesverwaltungsgericht gelangt nach Prüfung der Akten zum Schluss, dass die Vorinstanz das Asylgesuch des Beschwerdeführers zu Recht abgelehnt hat. Die Entgegnungen in der Beschwerdeschrift vermö- gen zu keiner anderen Betrachtungsweise zu führen. Zur Vermeidung von Wiederholungen kann vorab auf die entsprechenden Erwägungen im an- gefochtenen Asylentscheid verwiesen werden (vgl. auch vorstehend E. 5).</w:t>
      </w:r>
    </w:p>
    <w:p>
      <w:r>
        <w:rPr>
          <w:b/>
        </w:rPr>
        <w:t>E. 6.2.1</w:t>
      </w:r>
    </w:p>
    <w:p>
      <w:r>
        <w:t>In der Beschwerdeschrift wird unter sinngemässer Wiederholung der bisherigen Vorbringen an deren Asylrelevanz festgehalten. Zudem wird vorgebracht, es sei der Vater des Beschwerdeführers letzte Woche verhaf- tet worden. Dieser sei beschuldigt worden, von der PKK ausgebildet wor- den zu sein, als der Beschwerdeführer ein Kind gewesen sei. Im Jahr 2022 habe der Beschwerdeführer die Parteimitgliedschaft (vermutlich: der HDP) beantragt. Wie er von seinem Anwalt erfahren habe, sei ein Ermittlungs-</w:t>
      </w:r>
    </w:p>
    <w:p>
      <w:r>
        <w:t>D-4472/2023 Seite 8 verfahren gegen ihn eröffnet worden. Diesbezüglich stellte er die Nachrei- chung von Akten in Aussicht. Im als Beweismittel beigelegten Schreiben vom 16. August 2023 führt Rechtsanwalt F._______ einleitend aus, der Be- schwerdeführer sei seit dem Jahr 2023 Mitglied der HDP. Er sei bereits vorher für die Partei aktiv gewesen. Im Zusammenhang mit der am 13. Mai 2016 in D._______ verkündeten Ausgangssperre sei das Haus der Familie des Beschwerdeführers niedergebrannt beziehungsweise zerstört worden. Mit den in der Folge zunehmenden Aktivitäten für die Menschenrechte hät- ten auch der politische Druck auf die Familie und die Drohungen gegen diese und den Beschwerdeführer zugenommen, auch im Zusammenhang mit dem beim Verfassungsgericht am 17. März 2021 beantragten Verbot der HDP. Diesbezüglich sei bei der Oberstaatsanwaltschaft D._______ un- ter der Nummer (…) ein Ermittlungsverfahren hängig.</w:t>
      </w:r>
    </w:p>
    <w:p>
      <w:r>
        <w:rPr>
          <w:b/>
        </w:rPr>
        <w:t>E. 6.2.2</w:t>
      </w:r>
    </w:p>
    <w:p>
      <w:r>
        <w:t>Zu dem vom Beschwerdeführer am 19. September 2023 eingereich- ten fremdsprachigen Dokument führte er aus, dessen Inhalt umfasse eine Ermittlungsakte (…), die von der Generalstaatsanwaltschaft D._______ ihn betreffend eröffnet worden sei, und einen Antrag auf Erlass eines Haftbe- fehls. Weiterer seien ein UYAP-Scan/Screenshot und ein Referenzschrei- ben des türkischen Anwalts enthalten. Egal, was im Dokument stehe, tat- sächlich sei das Gegenteil der Fall. Er werde bedroht und werde dafür Be- weise liefern. Es bestehe eine weitere Ermittlungsakte und er werde alle weiteren Unterlagen in der nächsten Woche einreichen.</w:t>
      </w:r>
    </w:p>
    <w:p>
      <w:r>
        <w:rPr>
          <w:b/>
        </w:rPr>
        <w:t>E. 6.2.3</w:t>
      </w:r>
    </w:p>
    <w:p>
      <w:r>
        <w:t>Laut der vom Bundesverwaltungsgericht veranlassten Übersetzung handelt es sich beim eingereichten Dokument um einen Festnahme- be- ziehungsweise Vorführbefehl (Yakalama Emri) des Friedens- beziehungs- weise Strafrichteramts D._______ vom 25. August 2023 in der Sache Nummer (…), mit der Ermittlungsnummer (…) der Oberstaatsanwaltschaft. Der Beschwerdeführer wird der Drohung, begangen am 3. August 2023, beschuldigt und sei zwecks Einvernahme in der Ermittlungsphase festzu- nehmen (Art. 90 der türkischen Strafprozessordnung [tStPO]). Nach der erfolgten Einvernahme sei er auf freien Fuss zu setzen.</w:t>
      </w:r>
    </w:p>
    <w:p>
      <w:r>
        <w:rPr>
          <w:b/>
        </w:rPr>
        <w:t>E. 6.2.4</w:t>
      </w:r>
    </w:p>
    <w:p>
      <w:r>
        <w:t>Es fällt auf, dass der Festnahme- beziehungsweise Vorführbefehl in Widerspruch zu den Ausführungen in den Eingaben des Beschwerdefüh- rers und des türkischen Anwalts steht. Abgesehen vom Delikt, dessen er beschuldigt wird, und der abweichenden Nummer des Ermittlungsverfah- rens wurden die von ihm erwähnten Beweismittel unvollständig einge- reicht, während die Nachreichung der in der Eingabe vom 19. September 2023 in Aussicht gestellten Unterlagen unterblieben ist. Unter diesen Um-</w:t>
      </w:r>
    </w:p>
    <w:p>
      <w:r>
        <w:t>D-4472/2023 Seite 9 ständen vermag der Beschwerdeführer aus dem Dokument und den ent- sprechenden Vorbringen nichts zu seinen Gunsten abzuleiten.</w:t>
      </w:r>
    </w:p>
    <w:p>
      <w:r>
        <w:rPr>
          <w:b/>
        </w:rPr>
        <w:t>E. 6.2.5</w:t>
      </w:r>
    </w:p>
    <w:p>
      <w:r>
        <w:t>Der Beschwerdeführer macht geltend, er stamme aus einer Familie, deren Angehörige teilweise Probleme mit den türkischen Behörden hätten. Er selber sei vor diesem Hintergrund und im Zusammenhang mit eigenen politischen Aktivitäten von den türkischen behelligt worden. Aufgrund sei- ner Vorbringen ist mit der Vorinstanz nicht davon auszugehen, dass er zum Zeitpunkt seiner Ausreise im Fokus der türkischen Behörden stand und eine begründete Furcht vor einer Verfolgung im Sinne von Art. 3 AsylG hatte. Selbst vor dem Hintergrund, dass sich in der Türkei die Menschen- rechtssituation seit dem Putschversuch im Juli 2016 allgemein verschlech- tert hat, liegen keine Hinweise dafür vor, dass der Beschwerdeführer unter einem unerträglichen psychischen Druck stand. Daran vermag auch sein pauschales Vorbringen, sein Vater sei Anfang August 2023 unter dem Vor- wurf, vor mehreren Jahren von der PKK ausgebildet worden zu sein, nichts zu ändern. Nach dem Gesagten hat der Beschwerdeführer nichts vorge- bracht und ergibt sich nichts aus den Akten, was geeignet wäre, seine Furcht vor einer asylrechtlich relevanten (Reflex-)Verfolgung als objektiv begründet erscheinen zu lassen.</w:t>
      </w:r>
    </w:p>
    <w:p>
      <w:r>
        <w:rPr>
          <w:b/>
        </w:rPr>
        <w:t>E. 6.3</w:t>
      </w:r>
    </w:p>
    <w:p>
      <w:r>
        <w:t>Zusammenfassend ergibt sich, dass es dem Beschwerdeführer nicht gelungen ist, eine zum Zeitpunkt seiner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ihm heute bei einer Rückkehr in den Heimatstaat mit beachtli- cher Wahrscheinlichkeit und in absehbarer Zukunft drohen würde. Die Vor- instanz hat die Flüchtlingseigenschaft mangels Relevanz der Asylvorbrin- gen zu Recht verneint. Der Beschwerdeführer ist nicht schutzbedürftig im Sinne von Art. 3 AsylG, weshalb das SEM das Asylgesuch zu Recht abge- lehnt hat.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w:t>
      </w:r>
    </w:p>
    <w:p>
      <w:r>
        <w:t>D-4472/2023 Seite 10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w:t>
      </w:r>
    </w:p>
    <w:p>
      <w:r>
        <w:t>D-4472/2023 Seite 11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 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Nach konstanter Praxis ist in der Türkei nicht von einer Situation all- gemeiner Gewalt oder bürgerkriegsähnlichen Verhältnissen auszugehen, dies auch nicht für Angehörige der kurdischen Ethnie (vgl. statt vieler Ur- teile des BVGer D-4202/2023 vom 10. Oktober 2023 E. 8.3.2; E-2377/2018 vom 27. August 2019 E. 8.4.1). Diese Praxis berücksichtigt auch das Wie- deraufflammen des türkisch-kurdischen Konflikts sowie der bewaffneten Auseinandersetzungen zwischen der PKK und staatlichen Sicherheitskräf- ten seit Juli 2015 in verschiedenen Provinzen im Südosten des Landes (im Einzelnen: Batman, Diyarbakir, Mardin, Siirt, Urfa und Van, anders als die Provinzen Hakkari und Sirnak, zu den Letzteren vgl. BVGE 2013/2 E. 9.6).</w:t>
      </w:r>
    </w:p>
    <w:p>
      <w:r>
        <w:rPr>
          <w:b/>
        </w:rPr>
        <w:t>E. 8.4.2</w:t>
      </w:r>
    </w:p>
    <w:p>
      <w:r>
        <w:t>Der Beschwerdeführer stammt aus dem Dorf B._______ in der Pro- vinz C._______. Gemäss nach wie vor gültiger Praxis sind die beiden süd- östlichen Provinzen Hakkari und Sirnak an der Grenze zum Irak sind mit einer Situation allgemeiner Gewalt konfrontiert. Aus diesem Grund ist die Möglichkeit einer zumutbaren innerstaatlichen Wohnsitzverlegung aus- serhalb dieser beiden Provinzen beziehungsweise der erdbebengeschä- digten Gebiete zu prüfen (vgl. BVGE 2013/2 E. 9.6).</w:t>
      </w:r>
    </w:p>
    <w:p>
      <w:r>
        <w:t>D-4472/2023 Seite 12</w:t>
      </w:r>
    </w:p>
    <w:p>
      <w:r>
        <w:rPr>
          <w:b/>
        </w:rPr>
        <w:t>E. 8.4.3</w:t>
      </w:r>
    </w:p>
    <w:p>
      <w:r>
        <w:t>Diesbezüglich hielt die Vorinstanz zutreffend fest, der Beschwerde- führer habe als junger, gesunder Mann mit einem beruflichen Hintergrund als (…) die Möglichkeit, sich frei in anderen Gebieten der Türkei niederzu- lassen, wo er auch auf die Unterstützung einiger dort lebender Verwandter zählen könne, bei denen er bereits Unterstützung gefunden habe, wie zum Beispiel, als er im Jahr 2017 mit seiner Familie bei einer (…) in G._______ gewohnt habe, und wo er auch andere Verwandte habe. Dem hält der Be- schwerdeführer auf Beschwerdeebene nichts entgegen.</w:t>
      </w:r>
    </w:p>
    <w:p>
      <w:r>
        <w:rPr>
          <w:b/>
        </w:rPr>
        <w:t>E. 8.4.4</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10</w:t>
      </w:r>
    </w:p>
    <w:p>
      <w:r>
        <w:t>Bei diesem Ausgang des Verfahrens sind die Kosten von Fr. 750.– (Art. 1 – 3 des Reglements vom 21. Februar 2008 über die Kosten und Ent- schädigungen vor dem Bundesverwaltungsgericht [VGKE], SR 173.320.2) dem Beschwerdeführer aufzuerlegen (Art. 63 Abs. 1 VwVG).</w:t>
      </w:r>
    </w:p>
    <w:p>
      <w:r>
        <w:t>(Dispositiv nächste Seite)</w:t>
      </w:r>
    </w:p>
    <w:p>
      <w:r>
        <w:t>D-4472/2023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