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D-4472/2008 vom 5. Februar 2009</w:t>
      </w:r>
    </w:p>
    <w:p>
      <w:r>
        <w:t>Bundesverwaltungsgericht, 2009-02-05, DE</w:t>
      </w:r>
    </w:p>
    <w:p>
      <w:r>
        <w:rPr>
          <w:b/>
        </w:rPr>
        <w:t xml:space="preserve">Quelle: </w:t>
      </w:r>
      <w:r>
        <w:t>https://mcp.opencaselaw.ch/entscheid/bvger_D-4472_2008</w:t>
      </w:r>
    </w:p>
    <w:p>
      <w:r>
        <w:t>FR: TAF D-4472/2008 du 5 février 2009</w:t>
      </w:r>
    </w:p>
    <w:p>
      <w:r>
        <w:t>IT: TAF D-4472/2008 del 5 febbraio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Hinsichtlich der formellen Einwände des Beschwerdeführers zur Dauer der Beschwerdefrist ist auf Entscheidungen und Mitteilungen der Schweizerischen Asylrekurskommission (EMARK) 2004 Nr. 25 zu verweisen. Seine formellen Einwände sind nicht stichhaltig und das sinngemässe Gesuch um Ansetzung einer Nachfrist zur Beschwerdeergänzung wird abgewiesen, da die Beschwerdeschrift den gesetzlichen Anforderungen genügt und die Beschwerdesache weder einen aussergewöhnlichen Umfang noch besondere Schwierigkeiten aufweist. Bezeichnenderweise reichte er auch im Verlauf des Beschwerdeverfahrens keine Beschwerdeergänzung ein.</w:t>
      </w:r>
    </w:p>
    <w:p>
      <w:r>
        <w:rPr>
          <w:b/>
        </w:rPr>
        <w:t>E. 4</w:t>
      </w:r>
    </w:p>
    <w:p>
      <w:r>
        <w:t>Das BFM hat den angefochtenen Nichteintretensentscheid auf Art. 32 Abs. 2 Bst. a AsylG gestützt. Bei Beschwerden gegen Nichteintretensentscheide ist die Beurteilungszuständigkeit der Beschwerdeinstanz grundsätzlich auf die Überprüfung der Frage beschränkt, ob die Vorinstanz zu Recht auf das Asylgesuch nicht eingetreten ist, weshalb auf das Begehren um Asylgewährung nicht einzutreten ist. Bei Begründetheit der Beschwerde ist die angefochtene Verfügung aufzuheben und die Sache zu neuer Entscheidung an die Vorinstanz zurückzuweisen (vgl. EMARK 2004 Nr. 34 E. 2.1 S. 240 f.).</w:t>
      </w:r>
    </w:p>
    <w:p>
      <w:r>
        <w:rPr>
          <w:b/>
        </w:rPr>
        <w:t>E. 5.1</w:t>
      </w:r>
    </w:p>
    <w:p>
      <w:r>
        <w:t>Der Beschwerdeführer gab im erstinstanzlichen Verfahren eine Tazkara (afghanische Identitätskarte) ab, welche sein Onkel für ihn besorgt habe. Das BFM erachtete dieses Dokument nicht als rechtsgenüglich im Sinne von Art. 1 Bst. b und c der Asylverordnung 1 vom 11. August 1999 über Verfahrensfragen (AsylV 1, SR 142.311) und legte dar, die Tazkara könne gemäss seinen Erkenntnissen leicht gefälscht werden und sei leicht käuflich erwerbbar, weshalb sie nicht als Reise- und Identitätspapier gelte. Zudem handle es sich bei der vom Beschwerdeführer abgegebenen Tazkara um eine kopierte Vorlage, welche mit Originaleinträgen versehen worden sei. Behörden würden indessen üblicherweise Druckvorlagen verwenden.</w:t>
      </w:r>
    </w:p>
    <w:p>
      <w:r>
        <w:rPr>
          <w:b/>
        </w:rPr>
        <w:t>E. 5.2</w:t>
      </w:r>
    </w:p>
    <w:p>
      <w:r>
        <w:t>Der Beschwerdeführer beharrte in seiner Beschwerdeschrift auf der Echtheit der abgegebenen Tazkara. Allein aus dem Umstand, dass viele Tazkaras gefälscht seien, könne nicht auf eine Fälschung in seinem Fall geschlossen werden. Zudem dürfe die Feststellung, ein Dokument sei als gefälscht zu betrachten, nicht nur behauptet werden; vielmehr sei das BFM diesbezüglich beweispflichtig, weshalb das Dokument durch eine zuständige Fachperson hätte überprüft werden müssen. Das Bundesverwaltungsgericht habe ferner in einem Urteil (i.S. D-5319/2007) entschieden, dass der Tazkara die Qualität eines Reise- und Identitätspapiers im Sinne von Art. 1 Bst. b und c AsylV 1 zukomme.</w:t>
      </w:r>
    </w:p>
    <w:p>
      <w:r>
        <w:rPr>
          <w:b/>
        </w:rPr>
        <w:t>E. 5.3</w:t>
      </w:r>
    </w:p>
    <w:p>
      <w:r>
        <w:t>Das BFM ging in seiner Vernehmlassung davon aus, dass eine Urkundenprüfung der Tazkara durch eine Fachstelle nicht angebracht sei, weil selbst das Resultat, es lägen keine objektiven Fälschungsmerkmale vor, an den Schlussfolgerungen, es müsse sich um ein gefälschtes Dokument handeln, nichts zu ändern vermöchte. Die Schlussfolgerung des BFM stütze sich zudem nicht nur auf den Umstand, dass die Formularvorlage der Tazkara eine Fotokopie sei; vielmehr würden weitere Ungereimtheiten in den Angaben des Beschwerdeführers diesen Schluss stützen. Insbesondere habe er - im Gegensatz zur Beschwerdeschrift - bei der Befragung zur Person nicht erwähnt, dass er sich als Dreizehnjähriger zwecks Erhalt der Tazkara in Begleitung von zwei Zeugen persönlich bei der zuständigen Behörde habe melden müssen. Seine diesbezüglichen Aussagen im erstinstanzlichen Verfahren seien auffällig substanzarm ausgefallen.</w:t>
      </w:r>
    </w:p>
    <w:p>
      <w:r>
        <w:rPr>
          <w:b/>
        </w:rPr>
        <w:t>E. 5.4</w:t>
      </w:r>
    </w:p>
    <w:p>
      <w:r>
        <w:t>Der Beschwerdeführer legte demgegenüber in seiner Replik vom 30. September 2008 dar, er habe glaubhaft und ausführlich berichtet, wie er die Tazkara erhalten habe. In beiden Befragungen habe er widerspruchsfrei die gleichen Angaben zu Protokoll gegeben. Ausserdem sei er im Zeitpunkt des Erhalts der Tazkara erst 13 Jahre alt gewesen.</w:t>
      </w:r>
    </w:p>
    <w:p>
      <w:r>
        <w:rPr>
          <w:b/>
        </w:rPr>
        <w:t>E. 5.5</w:t>
      </w:r>
    </w:p>
    <w:p>
      <w:r>
        <w:t>Gemäss der Praxis des Bundesverwaltungsgerichts (vgl. Entscheide des Schweizerischen Bundesverwaltungsgerichts [BVGE] 2007/7) fallen nur Dokumente und Ausweise unter den Begriff der Reise- und Identitätspapiere, welche von den heimatlichen Behörden zum Zweck des Identitätsnachweises ausgestellt worden sind. Im erwähnten Urteil stellte das Bundesverwaltungsgericht fest, dass die Reise- und Identitätspapiere die Identität des Inhabers und dessen Staatsangehörigkeit fälschungssicher und zweifelsfrei belegen sowie den Vollzug der Wegweisung sicherstellen müssen. Als Beispiele für Reise- und Identitätspapiere, welche den verschärften gesetzlichen Anforderungen in der Regel genügen, erwähnte das Gericht Reisepässe, Identitätskarten und Inlandpässe. Dabei ist der Ausdruck "fälschungssicher" nicht in einer absoluten Form zu verstehen und zu gebrauchen. Identitätsausweise und -papiere genügen den Anforderungen, wenn sie "praktisch fälschungssicher" oder nur "sehr schwer zu fälschen" sind. Leicht oder sehr leicht fälschbare Ausweise hingegen vermögen die Voraussetzungen an ein fälschungssicheres Identitätspapier nicht zu erfüllen.</w:t>
      </w:r>
    </w:p>
    <w:p>
      <w:r>
        <w:rPr>
          <w:b/>
        </w:rPr>
        <w:t>E. 5.6</w:t>
      </w:r>
    </w:p>
    <w:p>
      <w:r>
        <w:t>Die vom Beschwerdeführer eingereichte afghanische Identitätskarte - die Tazkara - erfüllt im Fall ihrer Echtheit eine der genannten Voraussetzungen, nämlich die Ausstellung durch die heimatlichen Behörden zur Feststellung der Identität. Indessen ist mit der Vorinstanz übereinzustimmen, dass das Dokument auf der Basis einer kopierten Vorlage erstellt wurde, was ohne weiteres auf den ersten Blick erkennbar ist. Es enthält damit keine Sicherheitsmerkmale und ist leicht fälschbar, weshalb es den Anforderungen an den engen, in BVGE 2007/7 festgehaltenen Begriff des Identitätspapiers nach schweizerischen Massstäben nicht zu genügen vermag. Gemäss der erwähnten Praxis des Bundesverwaltungsgerichts sind indessen bezüglich der Qualifikation eines Dokumentes als "fälschungssicher" respektive als "leicht fälschbar" nicht nur die schweizerischen Bedingungen zur Festlegung der Fälschungssicherheit, sondern immer auch die Bedingungen des ausstellenden Staates zu berücksichtigen, was bedeutet, dass vorliegend (auch) die Referenznormen bezüglich der Fälschungssicherheit, welche sich Afghanistan gegeben hat, massgeblich sind. Nur wenn die Identitätskarte dem afghanischen Qualitätsstandard nicht entspricht und die Massstäbe, welche Afghanistan an die Fälschungssicherheit von Identitätskarten bestimmt, nicht erfüllt, darf der Schluss gezogen werden, das Dokument genüge den Anforderungen an die Fälschungssicherheit nicht (vgl. a.a.O. E. 5.1.3 S. 67). Die Tatsache, dass die abgegebene Tazkara kein einziges Sicherheitsmerkmal aufweist, lässt zwar vermuten, dass es auch nach afghanischen Bestimmungen nicht als fälschungssicher zu qualifizieren wäre, zumal zu erwarten ist, dass Afghanistan die selbst ausgestellten Identitätskarten mit gewissen Sicherheitsmerkmalen ausstattet. Mit hinreichender Sicherheit steht dies indessen nicht fest, womit einerseits ein gewisser Klärungsbedarf besteht und andererseits nicht - wie von der Vorinstanz - der Schluss gezogen werden kann, es handle sich mangels Sicherheitsmerkmalen nicht um ein Identitätspapier im Sinne der erwähnten Praxis des Bundesverwaltungsgerichts.</w:t>
      </w:r>
    </w:p>
    <w:p>
      <w:r>
        <w:rPr>
          <w:b/>
        </w:rPr>
        <w:t>E. 5.7</w:t>
      </w:r>
    </w:p>
    <w:p>
      <w:r>
        <w:t>In diesem Zusammenhang ist erneut auf die zuvor schon erwähnte Praxis des Bundesverwaltungsgerichts (BVGE 2007/7) hinzuweisen. Da nicht alle Staaten ihren Bürgern Identitätspapiere ausstellen, die dem zuvor erwähnten Kriterium der Fälschungssicherheit entsprechen, versteht es sich von selbst, dass entschuldbare Gründe für die Nichtabgabe eines fälschungssicheren Identitätspapiers zu berücksichtigen sind (vgl. BVGE 2007/7 E. 6 S. 69 f,). Vorliegend lässt sich aus einer Aktennotiz des BFM entnehmen, dass die für die Dokumentenanlyse zuständige Abteilung des BFM nicht in der Lage sei, die Echtheit der vorliegenden Identitätskarte festzustellen oder zu verneinen und dass in der Regel als Formularvorlagen nicht Kopien verwendet würden, indessen nicht bekannt sei, ob dies in einzelnen Gegenden nicht doch gemacht werde (Akte A15/1). Diese Information deckt sich im Übrigen mit Erkenntnissen internationaler Organisationen, gemäss welchen sich das Format der afghanischen Identitätskarte geändert haben soll, indessen Unklarheit über die Details der neuen Form der afghanischen Identitätskarte - somit auch über allfällige Sicherheitsmerkmale - bestehen (vgl. The Danish Immigration Service, The political conditions, the security and human rights situation in Afghanistan, Report on fact-finding mission to Kabul, Afghanistan, April 2004, S. 64; Home Office, Country of Origin Information Report, Afghanistan, 16. Oktober 2006, S. 199; Country of Origin Research, Responses to Information Requests, 1. Oktober 2003). Gestützt auf die Aktennotiz des BFM und die Berichte von internationalen Organisationen kann somit nicht ausgeschlossen werden, dass afghanische Behörden Tazkaras auf kopierten Vorlagen in der Grösse von A4 - wie vom Beschwerdeführer abgegeben - ausstellen. Damit stellt sich erneut (vgl. Ziff. 5.6 Schluss) die Frage, ob eine ohne Sicherheitsmerkmale und auf der Basis einer kopierten Vorlage ausgestellte Identitätskarte durch afghanische Behörden in Afghanistan üblich ist, dem afghanischen Standard entspricht und unter diesen Umständen trotz der leichten Fälschbarkeit als rechtsgenügliches Dokument im Sinne von Art. 1 Bst. b und c AsylV 1 anerkannt werden müsste.</w:t>
      </w:r>
    </w:p>
    <w:p>
      <w:r>
        <w:rPr>
          <w:b/>
        </w:rPr>
        <w:t>E. 5.8</w:t>
      </w:r>
    </w:p>
    <w:p>
      <w:r>
        <w:t>Jedenfalls hat die Vorinstanz infolge der bestehenden Unklarheiten zu Unrecht den Schluss gezogen, der Beschwerdeführer habe kein rechtsgenügliches Identitätspapier eingereicht und dafür keine entschuldbaren Gründe glaubhaft dargelegt, weil die von ihm eingereichte Tazkara infolge der kopierten Formularvorlage als gefälscht (vgl. Vernehmlassung vom 8. September 2008) zu betrachten sei respektive leicht fälschbar sei und nicht den Anforderungen an Art. 1 Bst. b und c AsylV 1 entspreche. Dessen angebliche Unechtheit vermochte im Übrigen die zuständige Fachstelle des BFM nicht zu bestätigen, weshalb das BFM mit seiner Aussage, das Dokument sei gefälscht, auch nicht in Übereinstimmung mit seiner eigenen Fachstelle entschied. Aufgrund des Hinweises der für die Dokumentenanalyse zuständigen Abteilung sowie der bestehenden Unklarheiten über die Ausstellungsmodalitäten können die Echtheit der abgegebenen Tazkara und damit das vom Beschwerdeführer angegebene Alter beziehungsweise allfällige entschuldbare Gründe für die Nichtabgabe eines rechtsgenüglichen Identitätspapiers nicht mit überwiegender Wahrscheinlichkeit ausgeschlossen werden, womit die Grundlage für einen Nichteintretensentscheid gestützt auf Art. 32 Abs. 2 Bst. a AsylG im vorliegenden Fall fehlt und die Vorinstanz zu Unrecht in Anwendung der erwähnten Gesetzesgrundlage nicht auf das Asylgesuch des Beschwerdeführers eingetreten ist. Gestützt auf diese Erwägungen besteht ein offensichtlicher Klärungsbedarf, weshalb das BFM verpflichtet gewesen wäre, die unklar gebliebenen Fragen hinsichtlich der afghanischen Identitätskarten zu klären. Zwar ist der Erklärung der Vorinstanz in ihrer Vernehmlassung, eine Urkundenprüfung der vom Beschwerdeführer eingereichten Tazkara durch eine Fachstelle sei nicht angebracht, weil das Resultat des Labors, es bestünden keine objektiven Fälschungsmerkmale, nicht weiterführen könne, im Hinblick auf die festgestellten fehlenden Sicherheitsmerkmale zuzustimmen. Indessen wären zur rechtsgenüglichen Feststellung des Sachverhalts klärende Informationen aus Afghanistan nötig und somit von den afghanischen Behörden einzuholen gewesen. Jedenfalls ist die Nichteintretensverfügung schon aus dem erwähnten Grund nicht mit dem Gesetz vereinbar. Unter diesen Umständen erübrigt es sich, die Frage, ob das BFM vorliegend die Rechte einer unbegleiteten minderjährigen Person verletzt und damit allenfalls einen weiteren Grund zu einer Kassation gegeben hat, zu klären.</w:t>
      </w:r>
    </w:p>
    <w:p>
      <w:r>
        <w:rPr>
          <w:b/>
        </w:rPr>
        <w:t>E. 5.9</w:t>
      </w:r>
    </w:p>
    <w:p>
      <w:r>
        <w:t>Aufgrund des vorstehend Gesagten ergibt sich, dass ergänzende Sachverhaltsabklärungen erforderlich gewesen wären, die indessen unterblieben sind. Infolge des unvollständig festgestellten Sachverhalts kann dem Beschwerdeführer nicht vorgeworfen werden, es würden keine entschuldbaren Gründe für die Nichtabgabe eines rechtsgenüglichen Identitätspapiers vorliegen respektive es sei kein Art. 32 Abs. 2 Bst. a AsylG entsprechendes Reise- oder Identitätspapier abgegeben worden.</w:t>
      </w:r>
    </w:p>
    <w:p>
      <w:r>
        <w:rPr>
          <w:b/>
        </w:rPr>
        <w:t>E. 6</w:t>
      </w:r>
    </w:p>
    <w:p>
      <w:r>
        <w:t>Zusammenfassend ist festzuhalten, dass die Vorinstanz im vorliegenden Fall den rechtserheblichen Sachverhalt unvollständig festgestellt und dabei die behördliche Untersuchungspflicht verletzt hat. Da eine Heilung dieses Verfahrensmangels im Rahmen des Beschwerdeverfahrens nicht möglich erscheint und jedenfalls nicht angebracht wäre, ist der angefochtene Entscheid aufzuheben und zur Neubeurteilung an die Vorinstanz zurückzuweisen.</w:t>
      </w:r>
    </w:p>
    <w:p>
      <w:r>
        <w:rPr>
          <w:b/>
        </w:rPr>
        <w:t>E. 7</w:t>
      </w:r>
    </w:p>
    <w:p>
      <w:r>
        <w:t>Nach dem Gesagten ist die Beschwerde gutzuheissen, die angefochtene Verfügung vom 30. Juni 2008 aufzuheben und die Sache zur Neubeurteilung an das BFM zurückzuweisen.</w:t>
      </w:r>
    </w:p>
    <w:p>
      <w:r>
        <w:rPr>
          <w:b/>
        </w:rPr>
        <w:t>E. 8.1</w:t>
      </w:r>
    </w:p>
    <w:p>
      <w:r>
        <w:t>Bei diesem Ausgang des Verfahrens sind keine Verfahrenskosten aufzuerlegen (Art. 63 Abs. 1 und 2 VwVG), weshalb das Gesuch um Gewährung der unentgeltlichen Rechtspflege gemäss Art. 65 Abs. 1 VwVG gegenstandslos wird.</w:t>
      </w:r>
    </w:p>
    <w:p>
      <w:r>
        <w:rPr>
          <w:b/>
        </w:rPr>
        <w:t>E. 8.2</w:t>
      </w:r>
    </w:p>
    <w:p>
      <w:r>
        <w:t>Dem Beschwerdeführer ist angesichts des Obsiegens im Beschwerdeverfahren in Anwendung von Art. 64 Abs. 1 VwVG eine Parteientschädigung für ihm erwachsene notwendige Vertretungskosten zuzusprechen (vgl. Art. 7 des Reglements vom 11. Dezember 2006 über die Kosten und Entschädigungen vor dem Bundesverwaltungsgericht [VGKE, SR 173.320.2]). In der eingereichten Kostennote vom 28. Oktober 2008 macht die Rechtsvertreterin für den Zeitraum zwischen dem 2. Juli und 28. Oktober 2008 einen Arbeitsaufwand von 7,25 Stunden und Auslagen von Fr. 56.30 geltend. Die Durchsicht der Akten ergibt indessen, dass das Mandatsverhältnis mit dem Beschwerdeführer erst seit dem 17. Juli 2008 bestand, was sich im Übrigen mit der vom Beschwerdeführer zwar mit einer c/o Adresse versehenen, aber selbst unterzeichneten und ohne einen Briefkopf der Rechtsvertretung erstellten Beschwerdeschrift deckt, weshalb die davor geltend gemachten zeitlichen Aufwendungen in Abzug zu bringen sind. Gestützt auf die eingereichte Kostennote ergibt dies für den Zeitraum zwischen dem 17. Juli und dem 28. Oktober 2008 insgesamt einen Arbeitsaufwand von 2.75 Stunden à Fr. 150.--, was total Fr. 412.50, zusätzlich Auslagen in der Höhe von Fr 56.30, entspricht. Das Bundesamt hat dem Beschwerdeführer demnach eine Parteientschädigung in der Höhe von Fr. 470.--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