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D-4471/2020 vom 15. September 2020</w:t>
      </w:r>
    </w:p>
    <w:p>
      <w:r>
        <w:t>Bundesverwaltungsgericht, 2020-09-15, IT</w:t>
      </w:r>
    </w:p>
    <w:p>
      <w:r>
        <w:rPr>
          <w:b/>
        </w:rPr>
        <w:t xml:space="preserve">Quelle: </w:t>
      </w:r>
      <w:r>
        <w:t>https://mcp.opencaselaw.ch/entscheid/bvger_D-4471_2020</w:t>
      </w:r>
    </w:p>
    <w:p>
      <w:r>
        <w:t>FR: TAF D-4471/2020 du 15 septembre 2020</w:t>
      </w:r>
    </w:p>
    <w:p>
      <w:r>
        <w:t>IT: TAF D-4471/2020 del 15 settembre 2020</w:t>
      </w:r>
    </w:p>
    <w:p>
      <w:pPr>
        <w:pStyle w:val="Heading2"/>
      </w:pPr>
      <w:r>
        <w:t>Regeste</w:t>
      </w:r>
    </w:p>
    <w:p>
      <w:r>
        <w:t>Asilo (non entrata nel merito / procedura Dublino)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 di CHF 750.- sono poste a carico del ricorrente. Tale ammontare dev'essere versato alla cassa del Tribunale amministrativo federale entro un termine di 30 giorni dalla data di spedizione della presente sentenza.</w:t>
      </w:r>
    </w:p>
    <w:p>
      <w:r>
        <w:rPr>
          <w:b/>
        </w:rPr>
        <w:t>E. 3</w:t>
      </w:r>
    </w:p>
    <w:p>
      <w:r>
        <w:t>Questa sentenza è comunicata al ricorrente, alla SEM e all'autorità cantonale. Il giudice unico: Il cancelliere: Daniele Cattaneo Lorenzo Rapelli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