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D-4470/2013 vom 12. Februar 2014</w:t>
      </w:r>
    </w:p>
    <w:p>
      <w:r>
        <w:t>Bundesverwaltungsgericht, 2014-02-12, DE</w:t>
      </w:r>
    </w:p>
    <w:p>
      <w:r>
        <w:rPr>
          <w:b/>
        </w:rPr>
        <w:t xml:space="preserve">Quelle: </w:t>
      </w:r>
      <w:r>
        <w:t>https://mcp.opencaselaw.ch/entscheid/bvger_D-4470_2013</w:t>
      </w:r>
    </w:p>
    <w:p>
      <w:r>
        <w:t>FR: TAF D-4470/2013 du 12 février 2014</w:t>
      </w:r>
    </w:p>
    <w:p>
      <w:r>
        <w:t>IT: TAF D-4470/2013 del 12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1.2</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2.1</w:t>
      </w:r>
    </w:p>
    <w:p>
      <w:r>
        <w:t>Das Bundesverwaltungsgericht überprüft die angefochtene Verfügung auf Verletzung von Bundesrecht sowie die unrichtige und unvollständige Feststellung des rechtserheblichen Sachverhalts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die tamilischen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5. Juli 2013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Das Gesuch um unentgeltliche Rechtspflege gemäss Art. 65 Abs. 1 VwVG, dessen Behandlung mit Zwischenverfügung vom 3. September 2013 auf einen späteren Zeitpunkt verschoben worden war, ist damit gegenstandslos.</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9-13 VGKE) und der Entschädigungspraxis in vergleichbaren Fällen eine Parteientschädigung für den Aufwand seiner Rechtsvertreterin von insgesamt Fr. 1'500.- (inkl. Auslagen und allfällige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