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D-4469/2023 vom 21. Juli 2023</w:t>
      </w:r>
    </w:p>
    <w:p>
      <w:r>
        <w:t>Bundesverwaltungsgericht, 2023-07-21, DE</w:t>
      </w:r>
    </w:p>
    <w:p>
      <w:r>
        <w:rPr>
          <w:b/>
        </w:rPr>
        <w:t xml:space="preserve">Quelle: </w:t>
      </w:r>
      <w:r>
        <w:t>https://mcp.opencaselaw.ch/entscheid/bvger_D-4469_2023_d20230721</w:t>
      </w:r>
    </w:p>
    <w:p>
      <w:r>
        <w:t>FR: TAF D-4469/2023 du 21 juillet 2023</w:t>
      </w:r>
    </w:p>
    <w:p>
      <w:r>
        <w:t>IT: TAF D-4469/2023 del 21 luglio 2023</w:t>
      </w:r>
    </w:p>
    <w:p>
      <w:pPr>
        <w:pStyle w:val="Heading2"/>
      </w:pPr>
      <w:r>
        <w:t>Regeste</w:t>
      </w:r>
    </w:p>
    <w:p>
      <w:r>
        <w:t>Asyl und Wegweisung | Asyl und Wegweisung; Verfügung des SEM vom 21.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t>D-4469/2023 Seite 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begrün- dete Indizien die Furcht vor erwarteten Benachteiligungen realistisch und nachvollziehbar erscheinen lassen (vgl. BVGE 2010/57 E. 2.5). Massge- blich für die Beurteilung der Flüchtlingseigenschaft ist die Situation im Zeit- punkt des Asylentscheids. Die Gewährung des Asyls kann nicht dazu die- nen, einen Ausgleich für vergangenes Unrecht zu schaffen, sondern be- zweckt, Schutz vor künftiger Verfolgung zu gewähren (vgl. BVGE 2008/4 E. 5.4). Ausserdem ist das Flüchtlingsrecht subsidiär ausgestaltet. Demnach setzt die Anerkennung der Flüchtlingseigenschaft voraus, dass die betroffene Person in ihrem Heimatland keinen ausreichenden Schutz finden kann (vgl. BVGE 2011/51 E. 7, m.w.H.). Gemäss der Schutztheorie ist somit die flüchtlingsrechtliche Relevanz einer nichtstaatlichen Verfolgung vom Vor- handensein eines adäquaten Schutzes durch den Heimatstaat abhängig. Dieser Schutz ist als hinreichend zu qualifizieren, wenn die betreffende Person effektiv Zugang zu einer funktionierenden und effizienten Schutz- infrastruktur hat, unabhängig von persönlichen Merkmalen wie Geschlecht oder Zugehörigkeit zu einer ethnischen oder religiösen Minderheit, und ihr die Inanspruchnahme eines solchen innerstaatlichen Schutzsystems zu- mutbar ist, wobei von einem Staat nicht erwartet werden kann, dass er je- derzeit präventiv in alle Lebensbereiche seiner Bürger eingreifen kann (vgl. BVGE 2011/51 E. 7.1-7.4 sowie statt vieler Urteil des BVGer E-1945/2023 vom 6. Juli 2023 E. 5.2).</w:t>
      </w:r>
    </w:p>
    <w:p>
      <w:r>
        <w:t>D-4469/2023 Seite 9</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E.5.1, 2012/5 E. 2.2).</w:t>
      </w:r>
    </w:p>
    <w:p>
      <w:r>
        <w:rPr>
          <w:b/>
        </w:rPr>
        <w:t>E. 5.1</w:t>
      </w:r>
    </w:p>
    <w:p>
      <w:r>
        <w:t>Das Bundesverwaltungsgericht gelangt nach Prüfung der Akten in Übereinstimmung mit der Vorinstanz zum Schluss, dass der Beschwerde- führer die Flüchtlingseigenschaft gemäss Art. 3 AsylG nicht zu begründen vermag. Zur Vermeidung von Wiederholungen kann auf die zutreffenden Ausführungen in der angefochtenen Verfügung verwiesen werden. Den Rechtsmitteleingaben sind keine stichhaltigen Entgegnungen zu entneh- men.</w:t>
      </w:r>
    </w:p>
    <w:p>
      <w:r>
        <w:rPr>
          <w:b/>
        </w:rPr>
        <w:t>E. 5.2</w:t>
      </w:r>
    </w:p>
    <w:p>
      <w:r>
        <w:t>Den vom Beschwerdeführer geltend gemachten Massnahmen in Zu- sammenhang mit einem Kindesschutzverfahren (Inobhutnahme der Toch- ter durch die chilenischen Behörden und zeitweilige Übertragung des Sor- gerechts an die Mutter des Beschwerdeführers) liegt kein flüchtlingsrecht- lich relevantes Motiv gemäss Art. 3 AsylG zugrunde. Dem Vorbringen des Beschwerdeführers, man habe ihm die Tochter weggenommen, mangelt es folglich an asylrechtlicher Relevanz. Im Übrigen fehlt auch der Kausal- zusammenhang zur Ausreise des Beschwerdeführers aus Chile im Jahr 2023, ist die Kontaktsperre zur Tochter doch schon lange davor aufgeho- ben worden. Des Weiteren machte der Beschwerdeführer geltend, er sei bei vornehm- lich im Internet getätigten Recherchen auf einen in K._______ – dem vor- maligen Wohnort seiner Tochter – aktiven pädophilen Ring gestossen und in der Folge von Personen aus diesem Milieu bedroht worden. Diesbezüg- lich ist festzustellen, dass der Beschwerdeführer die Drohungen, die er in dem besagten Zusammenhang erhalten haben soll, nicht schlüssig darzu- legen vermochte. Trotz gezielter Nachfragen im Rahmen der Anhörung vom 27. März 2023 blieben seine Angaben vage und über weite Strecken unsubstanziiert. Zudem weisen seine Aussagen erhebliche Widersprüche</w:t>
      </w:r>
    </w:p>
    <w:p>
      <w:r>
        <w:t>D-4469/2023 Seite 10 auf. So gab er beispielsweise einerseits an, die Vorfälle hätten sich ab an- fangs 2021 innert zwei bis drei Monaten abgespielt (vgl. SEM-Akte […]- 10/21 S. 9 F54-F57), sagte aber andererseits aus, erst ab Sommer 2022 bedroht worden zu sein (vgl. SEM-Akte […]-10/21 S. 9 F59-F61). Die An- gaben zu den Verfolgern fielen ebenso inkohärent aus (pädophiler Ring in K._______ respektive 16 Familien aus M._______ und N._______ bezie- hungsweise L._______, der im Drogenmilieu aktiv sei). Ungeachtet der Frage ihrer Glaubhaftigkeit vermögen die besagten Vorbringen nicht zur Bejahung der Flüchtlingseigenschaft zu führen. Dem vom Beschwerdefüh- rer geltend gemachten Konflikt mit Drittpersonen aus einem Pädophilen- oder Drogenmilieu ist mangels Erkennbarkeit eines flüchtlingsrechtlich re- levanten Verfolgungsmotivs im Sinne von Art. 3 AsylG die Asylrelevanz ab- zusprechen. Zudem verfügt Chile über ein funktionierendes Rechtssystem und das Bundesverwaltungsgericht geht in Übereinstimmung mit der Vor- instanz von der grundsätzlich bestehenden Fähigkeit und dem Willen der chilenischen Behörden aus, den Einwohnern Schutz vor Verfolgung und Bedrohung durch Drittpersonen zu gewähren (vgl. Urteile des BVGer E-1945/2023 vom 6. Juli 2023 E. 7.1 und D-3502/2019 vom 12. Juli 2019 S. 6 f.). Damit ist anzunehmen, dass der Beschwerdeführer allfälligen Übergriffen durch Drittpersonen nicht schutzlos ausgeliefert und ihm, der mit der chilenischen Polizei nie Probleme gehabt habe (vgl. SEM-Akte […]- 10/21 S. 20 F161), bei Bedarf die Inanspruchnahme von staatlichen Schutzmassnahmen zuzumuten wäre. Soweit der Beschwerdeführer die Schutzfähigkeit und -willigkeit seines Heimatlands mit Verweis auf die Zeit, als Pinochet dort an der Macht war, in Frage stellt, vermögen seine Aus- führungen, die durchwegs genereller Natur sind, nicht zu überzeugen. Auch der pauschale Einwand, die chilenische Polizei würde bei Anzeigen in Zusammenhang mit Kinderpornografie generell nichts unternehmen, vermag an dieser Einschätzung nichts zu ändern. Vielmehr lassen gerade die vom Beschwerdeführer am 25. August 2023 und 7. September 2023 eingereichten Ausdrucke chilenischer Medienberichte betreffend Verhaf- tungen und Verurteilungen in diesem Bereich das entsprechende Vorge- hen der Behörden erkennen. Für die Annahme, dass die chilenischen Be- hörden dem Beschwerdeführer bei Übergriffen oder Drohungen erforderli- chen Schutz vorenthalten würden, liegen jedenfalls keine konkreten An- haltspunkte vor. Die von ihm angetönte Furcht vor allfälligen künftigen Be- helligungen seitens Dritter ist daher asylrechtlich nicht relevant. Die mit Eingabe vom 7. September 2023 eingereichten Dokumente (USB-Stick) vermögen am festgestellten Fehlen eines flüchtlingsrechtlich relevanten Verfolgungsmotivs gemäss Art. 3 AsylG und der bestehenden Schutzfähig- keit und -willigkeit der chilenischen Behörden nichts zu ändern.</w:t>
      </w:r>
    </w:p>
    <w:p>
      <w:r>
        <w:t>D-4469/2023 Seite 11</w:t>
      </w:r>
    </w:p>
    <w:p>
      <w:r>
        <w:rPr>
          <w:b/>
        </w:rPr>
        <w:t>E. 5.3</w:t>
      </w:r>
    </w:p>
    <w:p>
      <w:r>
        <w:t>Das SEM hat somit die Flüchtlingseigenschaft zu Recht verneint und das Asylgesuch des Beschwerdeführers folgerichtig abgelehnt.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D-4469/2023 Seite 12</w:t>
      </w:r>
    </w:p>
    <w:p>
      <w:r>
        <w:rPr>
          <w:b/>
        </w:rPr>
        <w:t>E. 7.2.2</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unter Verweis auf die vorstehenden Ausführungen zum Asylpunkt nicht gelungen. Auch die all- gemeine Menschenrechtssituation in Chile lässt den Wegweisungsvollzug zum heutigen Zeitpunkt nicht als unzulässig erscheinen.</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Die allgemeine Lage in Chile ist weder von Bürgerkrieg noch von all- gemeiner Gewalt gekennzeichnet, so dass der Vollzug der Wegweisung dorthin grundsätzlich zumutbar ist.</w:t>
      </w:r>
    </w:p>
    <w:p>
      <w:r>
        <w:rPr>
          <w:b/>
        </w:rPr>
        <w:t>E. 7.3.2</w:t>
      </w:r>
    </w:p>
    <w:p>
      <w:r>
        <w:t>Der Beschwerdeführer hat seinen Angaben zufolge vor der (letzten) Ausreise aus Chile anfangs 2023 in einem guten Viertel in H._______ (P._______) gelebt und seit mehreren Jahren als (…) gearbeitet. Zudem verfügt er auch über langjährige Arbeitserfahrung als (…). Es darf somit erwartet werden, dass er wieder in der Lage sein wird, ein Auskommen zu finden. Allfällige anfängliche wirtschaftliche Reintegrationsschwierigkeiten vermögen dem Vollzug im Übrigen nicht entgegenzustehen, da blosse</w:t>
      </w:r>
    </w:p>
    <w:p>
      <w:r>
        <w:t>D-4469/2023 Seite 13 soziale oder wirtschaftliche Schwierigkeiten, von denen die ansässige Be- völkerung betroffen ist (bspw. Mangel an Arbeitsplätzen), keine existenz- bedrohende Situation zu begründen vermögen (vgl. BVGE 2010/41 E. 8.3.6). Aus gesundheitlichen Gründen kann nur dann auf Unzumutbar- keit des Wegweisungsvollzugs im Sinne von Art. 83 Abs. 4 AIG geschlos- sen werden, wenn eine dringend notwendige medizinische Behandlung im Heimatland schlicht nicht zur Verfügung steht und die fehlende Möglichkeit der (Weiter-)Behandlung bei einer Rückkehr zu einer raschen und lebens- gefährdenden Beeinträchtigung des Gesundheitszustands, zur Invalidität oder gar zum Tod der betroffenen Person führt, wobei Unzumutbarkeit je- denfalls nicht vorliegt, wenn im Heimatstaat eine nicht dem schweizeri- schen Standard entsprechende Behandlung grundsätzlich möglich ist (vgl. BVGE 2011/50 E. 8.3, 2009/52 E. 10.1, 2009/51 E. 5.5, 2009/28 E. 9.3.1, 2009/2 E. 9.3.2). Von einer solchen, den Wegweisungsvollzug unzumutbar machenden existenziellen medizinischen Notlage ist vorliegend nicht aus- zugehen. Beim Beschwerdeführer wurden laut den Berichten des (…) vom 9., 13. und 15. März 2023 folgende Beschwerden diagnostiziert: (…). Es wurde ein guter Allgemeinzustand des Beschwerdeführers festgestellt. (…) sei er stabil. Die laut dem Beschwerdeführer seit Jahrzehnten bestehende (…)-Erkrankung sei mitursächlich für die (…) und die wichtigste Therapie- massnahme sei die Wiederaufnahme der vom Beschwerdeführer vor län- gerer Zeit selbständig gestoppten (…) Therapie, verbunden mit der Emp- fehlung, die Medikamente wieder regelmässig einzunehmen. Bei der An- hörung vom 27. März 2023 bezeichnete der Beschwerdeführer seinen Ge- sundheitszustand als gut (vgl. SEM-Akte […]-10/21 S. 4 F22). Die Vo- rinstanz hat in ihrer Verfügung auf das als gut zu bezeichnende Gesund- heitssystem in Chile und die dort bestehende medizinische Versorgung hingewiesen (vgl. Verfügung vom 21. Juli 2023 S. 9). Es kann denn auch nicht geschlossen werden, dass der Beschwerdeführer bei einer Rückkehr nach Chile einer akuten Lebensgefahr ausgesetzt wäre, weil dort eine not- wendige medizinische (Weiter-)Behandlung unmöglich wäre. Gleiches gilt auch bezüglich des bislang unbelegten Vorbringens des Beschwerdefüh- rers, es liege eventuell auch noch eine (…) vor (vgl. Beschwerde vom 17. August 2023 S. 2 Ziff. 4). Das Abwarten respektive Einholen eines dies- bezüglichen Arztberichts erübrigt sich. Hinsichtlich des Wunsches des Be- schwerdeführers um Fortsetzung der Behandlung in der Schweiz ist darauf hinzuweisen, dass der EGMR grundsätzlich keinen Anspruch auf Verbleib in einem Konventionsstaat anerkennt, um weiterhin in den Genuss medizi- nischer Unterstützung zu kommen (vgl. Urteil vom 2. Mai 1997 i.S. D. ge- gen Vereinigtes Königreich). Überdies ist auch auf die Möglichkeit spezifi- scher medizinischer Rückkehrhilfe hinzuweisen (Art. 93 Abs. 1 Bst. d</w:t>
      </w:r>
    </w:p>
    <w:p>
      <w:r>
        <w:t>D-4469/2023 Seite 14 AsylG). Diese kann durch Mitgabe benötigter Medikamente oder auch in Form von Beiträgen zur Durchführung einer Behandlung oder der Ausrich- tung einer Pauschale für medizinische Leistungen gewährt werden (Art. 75 der Asylverordnung 2 vom 11. August 1999 [AsylV 2, SR 142.312]). Insge- samt ist somit nicht davon auszugehen, der Beschwerdeführer würde in Chile aus individuellen Gründen wirtschaftlicher, sozialer oder gesundheit- licher Natur in eine existenzielle Notlage geraten, die als konkrete Gefähr- dung im Sinne der zu beachtenden Bestimmung zu werten wäre (Art. 83 Abs. 4 AIG).</w:t>
      </w:r>
    </w:p>
    <w:p>
      <w:r>
        <w:rPr>
          <w:b/>
        </w:rPr>
        <w:t>E. 7.4</w:t>
      </w:r>
    </w:p>
    <w:p>
      <w:r>
        <w:t>Schliesslich obliegt es dem Beschwerdeführer, sich bei der zuständi- gen Vertretung des Heimatstaats die für eine Rückkehr notwendigen Rei- sedokumente zu beschaffen (Art. 8 Abs. 4 AsylG; vgl.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Mit vorliegendem Urteil ist das Beschwerdeverfahren abgeschlossen, wes- halb sich die Anträge auf Wiederherstellung der aufschiebenden Wirkung der Beschwerde und auf Verzicht auf die Erhebung eines Kostenvorschus- ses als gegenstandslos erweisen. Der am 18. August 2023 angeordnete Vollzugsstopp wird aufgehoben.</w:t>
      </w:r>
    </w:p>
    <w:p>
      <w:r>
        <w:rPr>
          <w:b/>
        </w:rPr>
        <w:t>E. 10.1</w:t>
      </w:r>
    </w:p>
    <w:p>
      <w:r>
        <w:t>Das Gesuch um Gewährung der unentgeltlichen Prozessführung ist abzuweisen, da die Begehren, wie sich aus den vorstehenden Erwägun- gen ergibt, als aussichtslos zu bezeichnen waren, weshalb die Vorausset- zungen von Art. 65 Abs. 1 VwVG – ungeachtet der behaupteten Bedürftig- keit des Beschwerdeführers – nicht erfüllt sind.</w:t>
      </w:r>
    </w:p>
    <w:p>
      <w:r>
        <w:rPr>
          <w:b/>
        </w:rPr>
        <w:t>E. 10.2</w:t>
      </w:r>
    </w:p>
    <w:p>
      <w:r>
        <w:t>Bei diesem Ausgang des Verfahrens sind die Kosten dem Beschwer- deführer aufzuerlegen (Art. 63 Abs. 1 VwVG) und auf insgesamt Fr. 750.–</w:t>
      </w:r>
    </w:p>
    <w:p>
      <w:r>
        <w:t>D-4469/2023 Seite 15 festzusetzen (Art. 1–3 des Reglements vom 21. Februar 2008 über die Kosten und Entschädigungen vor dem Bundesverwaltungsgericht [VGKE, SR 173.320.2]). (Dispositiv nächste Seite)</w:t>
      </w:r>
    </w:p>
    <w:p>
      <w:r>
        <w:t>D-4469/2023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