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D-4469/2013 vom 5. Februar 2014</w:t>
      </w:r>
    </w:p>
    <w:p>
      <w:r>
        <w:t>Bundesverwaltungsgericht, 2014-02-05, DE</w:t>
      </w:r>
    </w:p>
    <w:p>
      <w:r>
        <w:rPr>
          <w:b/>
        </w:rPr>
        <w:t xml:space="preserve">Quelle: </w:t>
      </w:r>
      <w:r>
        <w:t>https://mcp.opencaselaw.ch/entscheid/bvger_D-4469_2013</w:t>
      </w:r>
    </w:p>
    <w:p>
      <w:r>
        <w:t>FR: TAF D-4469/2013 du 5 février 2014</w:t>
      </w:r>
    </w:p>
    <w:p>
      <w:r>
        <w:t>IT: TAF D-4469/2013 del 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1.4</w:t>
      </w:r>
    </w:p>
    <w:p>
      <w:r>
        <w:t>Die Beschwerde ist im Verfahren einzelrichterlicher Zuständigkeit mit Zustimmung eines zweiten Richters oder einer zweiten Richterin zu behandeln, weil sie sich im Ergebnis als offensichtlich begründet erweist (Art. 111 Bst. e AsylG).</w:t>
      </w:r>
    </w:p>
    <w:p>
      <w:r>
        <w:rPr>
          <w:b/>
        </w:rPr>
        <w:t>E. 2</w:t>
      </w:r>
    </w:p>
    <w:p>
      <w:r>
        <w:t>Mit Beschwerde kann die Verletzung von Bundesrecht und die unrichtige oder unvollständige Feststellung des rechtserheblichen Sachverhalts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hatten und weggewiesen wurden (vgl. Medienmitteilung des BFM vom 4. September 2013: "Bundesamt hat Rückführungen nach Sri Lanka vorläufig ausgesetzt"). Die sri-lankischen Behörden hatten die tamilischen Rückkehrer bei der Wiedereinreise in Haft genommen. Daraufhin stellte die Vorinstanz in Aussicht,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waren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8. Juli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Der in der Kostennote ausgewiesene Zeitaufwand von 13.25 Stunden ist jedoch als überhöht zu erachten, zumal die Beschwerdeschrift über weite Teile lediglich den bereits bekannten Sachverhalt wiederholt, was keinen notwendigen Aufwand darstellt. Daher ist die Kostennote zu kürzen und der notwendige Aufwand auf insgesamt Fr. 1'500.- festzusetzen. Dieser Betrag ist vom BFM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