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D-4466/2015 vom 15. Dezember 2016</w:t>
      </w:r>
    </w:p>
    <w:p>
      <w:r>
        <w:t>Bundesverwaltungsgericht, 2016-12-15, DE</w:t>
      </w:r>
    </w:p>
    <w:p>
      <w:r>
        <w:rPr>
          <w:b/>
        </w:rPr>
        <w:t xml:space="preserve">Quelle: </w:t>
      </w:r>
      <w:r>
        <w:t>https://mcp.opencaselaw.ch/entscheid/bvger_D-4466_2015</w:t>
      </w:r>
    </w:p>
    <w:p>
      <w:r>
        <w:t>FR: TAF D-4466/2015 du 15 décembre 2016</w:t>
      </w:r>
    </w:p>
    <w:p>
      <w:r>
        <w:t>IT: TAF D-4466/2015 del 15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Gericht stellt in Übereinstimmung mit dem SEM fest, dass es dem Beschwerdeführer nicht gelungen ist, die geltend gemachten Probleme in Sri Lanka glaubhaft darzulegen. In Übereinstimmung mit den Ausführungen des SEM in der angefochtenen Verfügung vom 18. Juni 2015 ist somit festzustellen, dass seine Asylvorbringen weder den Anforderungen an die Flüchtlingseigenschaft gemäss Art. 3 AsylG noch denjenigen an die Glaubhaftigkeit gemäss Art. 7 AsylG standhalten. Zur Vermeidung von Wiederholungen kann auf die zutreffenden Ausführungen in der angefochtenen Verfügung sowie der Vernehmlassung verwiesen werden (vgl. vorstehend Bst. C. und Bst. F.). Auch die Ausführungen in der Beschwerdeschrift sowie in der Replik können zu keiner anderen Betrachtungsweise führen, zumal der Beschwerdeführer im Wesentlichen seine bisherigen Vorbringen wiederholt und an deren Glaubhaftigkeit sowie deren Asylrelevanz festhält. Auch die Tatsache, dass der Beschwerdeführer wegen Unzulässigkeit vorläufig aufgenommen wurde, vermag keinen anderen Entscheid herbeizuführen, weil der Schutzbereich von Art. 3 EMRK andere Voraussetzungen bedingt als Art. 3 AsylG. Somit kann von weiteren Ausführungen abgesehen werden.</w:t>
      </w:r>
    </w:p>
    <w:p>
      <w:r>
        <w:rPr>
          <w:b/>
        </w:rPr>
        <w:t>E. 4.2</w:t>
      </w:r>
    </w:p>
    <w:p>
      <w:r>
        <w:t>Zusammenfassend ist somit festzustellen, dass keine asylrechtlich relevanten Verfolgungsgründe ersichtlich sind, weshalb das SEM zu Recht die Flüchtlingseigenschaft des Beschwerdeführers verneint und das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m.w.H.).</w:t>
      </w:r>
    </w:p>
    <w:p>
      <w:r>
        <w:rPr>
          <w:b/>
        </w:rPr>
        <w:t>E. 6.3</w:t>
      </w:r>
    </w:p>
    <w:p>
      <w:r>
        <w:t>Da der Beschwerdeführer mit der angefochtenen Verfügung vom 18. Juni 2015 wegen Unzulässigkeit des Wegweisungsvollzuges in der Schweiz vorläufig aufgenommen wurde, erübrigen sich praxisgemäss Ausführungen zur Zumutbarkeit und Möglichkeit des Wegweisungsvollzuges.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Die vom Beschwerdeführer gestellten Begehren erscheinen im Zeitpunkt der Beschwerdeeingabe nicht aussichtslos und von seiner Bedürftigkeit im Sinne von Art. 65 Abs. 1 VwVG ist auszugehen, weshalb das Gesuch um Gewährung der unentgeltlichen Prozessführung gemäss Art. 65 Abs. 1 VwVG gutzuheissen ist und keine Verfahrenskosten erhoben werden. Das Gesuch um Erlass des Kostenvorschusses wird gegenstandslos.</w:t>
      </w:r>
    </w:p>
    <w:p>
      <w:r>
        <w:rPr>
          <w:b/>
        </w:rPr>
        <w:t>E. 9.1</w:t>
      </w:r>
    </w:p>
    <w:p>
      <w:r>
        <w:t>Gemäss Art. 110a Abs. 1 Bst. a AsylG hat das Bundesverwaltungsgericht bei Verfahren - wie dem vorliegenden - nach Art. 31a Abs. 4 AsylG der asylsuchenden Person, welche von der Bezahlung der Verfahrenskosten befreit wurde, auf Antrag eine amtliche Rechtsbeiständin oder einen amtlichen Rechtsbeistand zu bestellen. Das Gesuch um Gewährung der unentgeltlichen Rechtsverbeiständung gemäss Art. 110a Abs. 1 Bst. a AsylG ist somit gutzuheissen und dem Beschwerdeführer eine amtliche Rechtsbeiständin in der Person von lic. iur. Ursina Bernhard beizuordnen.</w:t>
      </w:r>
    </w:p>
    <w:p>
      <w:r>
        <w:rPr>
          <w:b/>
        </w:rPr>
        <w:t>E. 9.2</w:t>
      </w:r>
    </w:p>
    <w:p>
      <w:r>
        <w:t>Der amtlichen Rechtsbeiständin ist eine angemessene Entschädigung auszurichten. In der eingereichten Kostennote wird von einem Stundenansatz von Fr. 180.- ausgegangen. Praxisgemäss ist der Stundenansatz für das Honorar von amtlich bestellten Rechtsbeiständen im Zeitpunkt der Beiordnung gestützt auf Art. 12 in Verbindung mit Art. 10 des Reglements vom 21. Februar 2008 über die Kosten und Entschädigungen vor dem Bundesverwaltungsgericht (VGKE, SR 173.320.2) in der Regel zu begrenzen, wobei für Rechtsanwältinnen und Rechtsanwälte ein Stundenansatz von Fr. 200.- bis 220.- und für nichtanwaltliche Rechtsvertretungen ein Stundenansatz von Fr. 100.- bis 150.- vorzusehen ist. Aufgrund dessen wird der Stundenansatz praxisgemäss auf Fr. 150.- reduziert und der nichtanwaltlichen Rechtsvertreterin für die amtliche Verbeiständung des Beschwerdeführers vorliegend eine Entschädigung von Fr. 2318.- (inkl. MWSt)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