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D-4458/2017 vom 6. September 2017</w:t>
      </w:r>
    </w:p>
    <w:p>
      <w:r>
        <w:t>Bundesverwaltungsgericht, 2017-09-06, DE</w:t>
      </w:r>
    </w:p>
    <w:p>
      <w:r>
        <w:rPr>
          <w:b/>
        </w:rPr>
        <w:t xml:space="preserve">Quelle: </w:t>
      </w:r>
      <w:r>
        <w:t>https://mcp.opencaselaw.ch/entscheid/bvger_D-4458_2017</w:t>
      </w:r>
    </w:p>
    <w:p>
      <w:r>
        <w:t>FR: TAF D-4458/2017 du 6 septembre 2017</w:t>
      </w:r>
    </w:p>
    <w:p>
      <w:r>
        <w:t>IT: TAF D-4458/2017 del 6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Behörden haben die Pflicht, ihre Verfügungen und Entscheide zu begründen; dies wird aus dem Anspruch auf rechtliches Gehör gemäss Art. 29 Abs. 2 der Bundesverfassung der Schweizerischen Eidgenossenschaft vom 18. April 1999 (BV, SR 101) abgeleitet. Die Behörde hat die Vorbringen der vom Entscheid in ihrer Rechtsstellung Betroffenen auch tatsächlich zu hören, sorgfältig und ernsthaft zu prüfen und in der Entscheidfindung zu berücksichtigen. Diese Anforderungen sind unter Berücksichtigung aller Umstände des Einzelfalles sowie der Interessen der Betroffenen festzulegen. Dabei müssen zumindest kurz die Überlegungen genannt werden, von denen sich die Behörde hat leiten lassen (vgl. BGE 129 I 236 E. 3.2), wobei sie sich nicht ausdrücklich mit jeder tatbeständlichen Behauptung und jedem rechtlichen Einwand auseinandersetzen muss, vielmehr kann sie sich auf die für den Entscheid wesentlichen Gesichtspunkte beschränken. Das Recht, angehört zu werden, ist gemäss langjähriger Rechtsprechung des Bundesgerichts formeller Natur und hat zur Folge, dass eine Verletzung ungeachtet der Erfolgsaussichten der Beschwerde in der Sache selbst zur Aufhebung der angefochtenen Verfügung führt. Die Verletzung des Anspruchs auf rechtliches Gehör durch die Rechtsmittelbehörde kann geheilt werden, dies unter der Voraussetzung, dass es sich nicht um eine besonders schwere Prozessrechtsverletzung handelt und der betroffenen Partei die Möglichkeit offensteht, sich vor einer Beschwerdeinstanz zu äussern, welche den angefochtenen Entscheid mit derselben Kognition überprüft.</w:t>
      </w:r>
    </w:p>
    <w:p>
      <w:r>
        <w:rPr>
          <w:b/>
        </w:rPr>
        <w:t>E. 4.2</w:t>
      </w:r>
    </w:p>
    <w:p>
      <w:r>
        <w:t>In der Beschwerdeschrift machte die Beschwerdeführerin geltend, dass sie zu keinem Zeitpunkt zwischen dem Herkunftstest am 2. Februar 2017 und der Anhörung vom 3. Juli 2017 Einsicht in die Aufzeichnungen des Gesprächs hatte. Es sei ihr nicht bewusst gewesen, dass sie eine solche Einsicht hätte beantragen können. Da ihr Anspruch auf rechtliches Gehör durch die Vorinstanz verletzt worden sei, sei die Beurteilung des SEM bezüglich ihrer Herkunft als ungültig zu werten. Da der Beschwerdeführerin während der Anhörung vom 3. Juli 2017 unbestrittenermassen das rechtliche Gehör in Bezug auf die Herkunftsanalyse gewährt wurde und sie am 8. August 2017 Einsicht in die Aufzeichnung des Telefoninterviews hatte, kann keine Verletzung des rechtlichen Gehörs festgestellt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Der Frage der Verlässlichkeit der Herkunftsangaben der Beschwerdeführerin kommt eine wesentliche Bedeutung zu. 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(BVGE 2014/12 E. 5). Bei Personen tibetischer Ethnie, die ihre wahre Herkunft verschleiern oder verheimlichen, ist vermutungsweise davon auszugehen, dass keine flüchtlings- oder wegweisungsbeachtlichen Gründe gegen eine Rückkehr an ihren bisherigen Aufenthaltsort bestünden (BVGE 2014/12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5.4</w:t>
      </w:r>
    </w:p>
    <w:p>
      <w:r>
        <w:t>Der angefochtene Entscheid stützt sich massgeblich auf die sprach- und länderkundliche Herkunftsanalyse (sogenannte Lingua-Analyse). Dabei wurden sowohl die sprachlichen als auch die landeskundlich-kulturellen Kenntnisse der Beschwerdeführerin geprüft.</w:t>
      </w:r>
    </w:p>
    <w:p>
      <w:r>
        <w:rPr>
          <w:b/>
        </w:rPr>
        <w:t>E. 5.5</w:t>
      </w:r>
    </w:p>
    <w:p>
      <w:r>
        <w:t>In der Beschwerdeschrift machte die Beschwerdeführerin geltend, dass die Feststellungen der sachverständigen Person zu relativieren bzw. als unglaubwürdig zu werten seien, da sie nicht in Tibet geboren und aufgewachsen sei, sondern aus Westeuropa komme. Bei verschiedenen Fragen, wäre der Befrager in der Pflicht gewesen, diese zu wiederholen, da sie diese nicht ganz verstanden habe. Andere Fragen seien zu unpräzis formuliert gewesen. Bei der Frage, in welchem Jahr die Pilgerfahrt am (...) als besonders heilbringend gelte, habe es Verständigungsschwierigkeiten zwischen den beiden Wörtern für "Tiger" und "Pferd" ("Ta" und "Thak") gegeben. Als Grund dafür, dass sie fast kein Chinesisch spreche, gab sie an, dass sie dazu nicht die Möglichkeit gehabt und sie in einem Hotel gearbeitet habe. Sie bekräftigte, dass sie sich von der Geburt bis zur Ausreise ununterbrochen in B._______ aufgehalten habe.</w:t>
      </w:r>
    </w:p>
    <w:p>
      <w:r>
        <w:rPr>
          <w:b/>
        </w:rPr>
        <w:t>E. 5.6</w:t>
      </w:r>
    </w:p>
    <w:p>
      <w:r>
        <w:t>Bei Herkunftsanalysen der Fachstelle LINGUA handelt es sich zwar praxisgemäss nicht um Sachverständigengutachten im Sinne von Art. 12 Bst. e VwVG (vgl. hierzu Art. 57-61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w:t>
      </w:r>
    </w:p>
    <w:p>
      <w:r>
        <w:rPr>
          <w:b/>
        </w:rPr>
        <w:t>E. 5.7</w:t>
      </w:r>
    </w:p>
    <w:p>
      <w:r>
        <w:t>Die vorliegende Herkunftsanalyse lässt in nachvollziehbarer Weise auf die fehlende Sozialisation der Beschwerdeführerin im behaupteten Herkunftsraum schliessen. Auch bestehen in Bezug auf die Qualifikation, Objektivität und Neutralität der Expertin keine Zweifel. Hingegen vermögen die Ausführungen der Beschwerdeführerin, ihre Angaben seien alle korrekt gewesen, das sprachwissenschaftlich belegte Ergebnis, wonach sie nicht aus dem Gebiet D._______ stamme, nicht zu entkräften. Der Bericht kommt schlüssig zum Ergebnis, dass sie den Lhasa-Dialekt spricht und auf mehreren Analyseebenen - lexikalisch, phonetisch und morphologisch - keine Sozialisation im angegebenen Herkunftsraum erkennbar ist. Vor diesem Hintergrund erscheinen die von der Beschwerdeführerin bestrittenen Punkte nebensächlich. Selbst wenn man in Betracht zieht, dass die Beschwerdeführerin - im Gegensatz zu ihren Angaben im Lingua-Interview - den richtigen Ausstellungsort für Personalausweise kennt und in der Anhörung richtige Angaben zu Ortschaften, Tieren und Klöstern machen konnte, liegen aufgrund der Herkunftsanalyse genügend andere Hinweise auf eine fehlende Hauptsozialisierung im Gebiet D._______ vor. Insbesondere ist durch die Sprachanalyse schlüssig dargelegt, dass sehr schwer wiegende Indizien für eine Hauptsozialisation ausserhalb Tibets vorliegen. Ein weiteres Indiz sind die Wissenslücken der Beschwerdeführerin bezüglich ihrer angeblichen Herkunftsregion, ihr Unwissen über die Seen im Umkreis sowie ihre mangelnden Kenntnisse des Chinesischen. Unter diesen Umständen ist ihren Asylvorbringen die Grundlage entzogen und ihre geltend gemachte Ausreise aus China kann als solche nicht geglaubt werden. Wie das SEM zu Recht festgestellt und zutreffend begründet hat, ist durch die Verschleierung der Herkunft auch die Prüfung der Flüchtlingseigenschaft der Beschwerdeführerin in Bezug auf ihr effektives Heimat- oder Herkunftsland verunmöglicht worden, weshalb sowohl Vorfluchtgründe als auch subjektive Nachfluchtgründe zu verneinen sind.</w:t>
      </w:r>
    </w:p>
    <w:p>
      <w:r>
        <w:rPr>
          <w:b/>
        </w:rPr>
        <w:t>E. 5.8</w:t>
      </w:r>
    </w:p>
    <w:p>
      <w:r>
        <w:t>Aufgrund dieses Ergebnisses konnte die Vorinstanz mit hinreichender Sicherheit davon ausgehen, dass die Angaben der Beschwerdeführerin nicht zutreffen und dass auf eine Verschleierung der tatsächlichen Herkunft zu schliessen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Es sind vorliegend keine Gründe ersichtlich, die in rechtserheblicher Weise gegen den von der Vorinstanz angeordneten Vollzug der Wegweisung sprechen würden. Es ist von der Zulässigkeit, Zumutbarkeit und Möglichkeit des Wegweisungsvollzuges auszugehen (Art. 83 Abs. 2 - 4 AuG). Zwar sind die Zulässigkeit, Zumutbarkeit und Möglichkeit eines Wegweisungsvollzugs von Amtes wegen zu prüfen, die Untersuchungspflicht findet jedoch ihre Grenzen an der Mitwirkungspflicht der Beschwerdeführerin. Insofern hat sie die Folgen der Verheimlichung ihrer tatsächlichen Herkunft zu tragen, indem vermutungsweise davon auszugehen ist, es spreche nichts gegen eine Rückkehr an ihren tatsächlichen Herkunftsort (vgl. dazu EMARK 2005 Nr. 1, E. 3.2.2; vgl. ferner BVGE 2014/12 E 6 [zweiter und dritter Absatz]). Das SEM hat den Wegweisungsvollzug nach China, aufgrund der nicht gänzlich auszuschliessenden chinesischen Staatsangehörigkeit der Beschwerdeführerin, zu Recht ausgeschlossen.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unentgeltliche Rechtspflege ist abzuweisen, da die Beschwerde als aussichtlos zu werten ist (Art. 65 Abs. 1 VwVG). Das Gesuch um Verzicht auf den Kostenvorschuss ist gegenstandslos geworden.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