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D-4447/2015 vom 17. Juli 2017</w:t>
      </w:r>
    </w:p>
    <w:p>
      <w:r>
        <w:t>Bundesverwaltungsgericht, 2017-07-17, DE</w:t>
      </w:r>
    </w:p>
    <w:p>
      <w:r>
        <w:rPr>
          <w:b/>
        </w:rPr>
        <w:t xml:space="preserve">Quelle: </w:t>
      </w:r>
      <w:r>
        <w:t>https://mcp.opencaselaw.ch/entscheid/bvger_D-4447_2015</w:t>
      </w:r>
    </w:p>
    <w:p>
      <w:r>
        <w:t>FR: TAF D-4447/2015 du 17 juillet 2017</w:t>
      </w:r>
    </w:p>
    <w:p>
      <w:r>
        <w:t>IT: TAF D-4447/2015 del 17 luglio 2017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2011/51 E. 6.2).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rügen eine Verletzung des rechtlichen Gehörs, indem die Vorinstanz die Eingabe vom 12. Mai 2015, mit welcher die Rechtsvertreterin im Rahmen des Verfahrens im Testphasenzentrum zum Entscheidentwurf ausführlich Stellung genommen hatte, im angefochtenen Entscheid weder überhaupt erwähnte noch sich inhaltlich damit auseinandersetzte. Im Entscheidentwurf vom 11. Mai 2015 habe sich das SEM auf den Standpunkt gestellt, die Vorbringen der Beschwerdeführenden seien offensichtlich nicht asylrelevant, weshalb die Glaubhaftigkeit nicht geprüft worden sei, allerdings mit dem Vorbehalt, bestehende Unglaubhaftigkeitselemente allenfalls in einem späteren Zeitpunkt zu würdigen. In der Stellungnahme zum Entscheidentwurf sei ausführlich dargelegt und dokumentiert worden, dass die Mitglieder der Eastern Lightning Church, entgegen der Annahme des SEM, in China Verfolgung zu befürchten hätten. Am 18. Mai 2015 seien die Beschwerdeführenden sodann "zwecks weiterer Abklärungen" ins erweiterte Verfahren transferiert worden. Weder aus dem Aktenverzeichnis noch der angefochtenen Verfügung sei allerdings ersichtlich, dass tatsächlich weitere Abklärungen getätigt worden seien. In der Folge sei die Verfügung vom 2. Juli 2015 vom selben Mitarbeiter des SEM verfasst worden, der bereits den Entscheidentwurf vorgelegt habe. Die Begründung der Verfügung vom 2. Juli 2015 unterscheide sich jedoch diametral von derjenigen des vorherigen Entwurfs, indem sich die Vorinstanz nunmehr auf den Standpunkt stelle, die Vorbringen der Beschwerdeführenden seien nicht glaubhaft, weshalb sie nicht auf Asylrelevanz hin zu prüfen seien. Eine solche Vorgehensweise sei stossend und äusserst bedenklich.</w:t>
      </w:r>
    </w:p>
    <w:p>
      <w:r>
        <w:rPr>
          <w:b/>
        </w:rPr>
        <w:t>E. 4.2</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(vgl. Kiener/Rütsche/Kuhn, Öffentliches Verfahrensrecht, 2. Aufl. 2015, S. 161).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(Patrick Sutter, in: Auer/Müller/Schindler [Hrsg.], Kommentar VwVG, 2008, Art. 32 VwVG, Rz. 2).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Art. 32 Abs. 1 VwVG, Rz. 2).</w:t>
      </w:r>
    </w:p>
    <w:p>
      <w:r>
        <w:rPr>
          <w:b/>
        </w:rPr>
        <w:t>E. 4.3</w:t>
      </w:r>
    </w:p>
    <w:p>
      <w:r>
        <w:t>Soweit in der Beschwerde sinngemäss gerügt wird, es sei dem SEM im Testverfahren verwehrt, die Begründung des Entscheidentwurfs wieder fallen zu lassen und durch eine völlig neue Begründung zu ersetzen, kann dem nicht gefolgt werden. Das Vorgehen der Vorinstanz, nach erfolgter Stellungnahme die Asylgesuche der Beschwerdeführenden zur weiteren Abklärung dem erweiterten Verfahren zuzuweisen und im angefochtenen Entscheid nunmehr mit der fehlenden Glaubhaftigkeit der Vorbringen (und nicht mit der fehlenden Asylrelevanz wie im Entscheidentwurf) zu argumentieren, ist entgegen der in der Beschwerde vertretenen Auffassung grundsätzlich nicht zu beanstanden. Auch wenn in Art. 17 TestV festgehalten wird, dass eine allfällige Zuweisung in das erweiterte Verfahren (unmittelbar) nach Anhörung der Asylgründe erfolge, schliesst dies nicht aus, dass eine solche auch nach erfolgtem Entscheidentwurf samt Stellungnahme erfolgen kann. Vielmehr kann es im Interesse der Entscheidfindung angezeigt sein, nach erfolgter Konsultation mit der Rechtsvertretung die Asylgesuche dem erweiterten Verfahren zuzuweisen (hier nach Angabe der Vorinstanz in der Vernehmlassung zugunsten einer einheitlichen und kohärenten Asylpraxis). Inwiefern die Beschwerdeführenden hieraus einen Rechtsnachteil erfahren sollten, ist nicht ersichtlich. Die Erwägungen der Vorinstanz im Entscheidentwurf sind daher entgegen der Auffassung in der Beschwerde für die Vorinstanz nicht bindend. Es ist ja gerade der Sinn eines Entwurfs, dass er aufgrund der Stellungnahme allenfalls ergänzt, angepasst oder korrigiert werden kann. Überdies hat das SEM im Entscheidentwurf explizit darauf hingewiesen, dass Zweifel an den Vorbringen bestünden. Die Beschwerdeführenden mussten somit damit rechnen, dass in der angefochtenen Verfügung mit der Unglaubhaftigkeit der Vorbringen argumentiert werden würde. Näher zu prüfen ist indessen, ob das - grundsätzlich zulässige - Wechseln der Argumentation im vorliegenden Fall in korrekter Weise und unter Wahrung der Parteirechte erfolgte.</w:t>
      </w:r>
    </w:p>
    <w:p>
      <w:r>
        <w:rPr>
          <w:b/>
        </w:rPr>
        <w:t>E. 4.4</w:t>
      </w:r>
    </w:p>
    <w:p>
      <w:r>
        <w:t>Das Vorgehen der Vorinstanz erscheint in der Tat insofern befremdlich, als im angefochtenen Entscheid der Entscheidentwurf und die dazugehörige Stellungnahme mit keinem Wort erwähnt, die vorangegangene Verfahrensphase somit schlicht ausgeblendet wird. Dies widerspricht zum einen dem Sinn des Verfahrens in der Testphase, da mit der Zuweisung ins erweiterte Verfahren nicht etwa ein neues Asylverfahren eingeleitet wird, sondern es eine Fortsetzung ist. Der vorherige Verfahrensabschnitt wird damit nicht quasi inexistent; alle bis dahin im bisherigen Verfahren erhobenen Beweismittel und Vorbringen der Partei sind Bestandteil der Akten und müssen im Entscheid gewürdigt werden. Dass die Vorinstanz dies hier völlig unterlassen, die Stellungnahme vom 12. Mai 2015 somit schlicht ignoriert hat, verletzt nach dem vorstehend Ausgeführten das rechtliche Gehör. Auch wenn das SEM die Begründung des Entscheidentwurfs, wie in E. 4.3 erwähnt, im definitiven Entscheid ändern oder sogar auswechseln darf, so hätte es die Begründungspflicht - als Teilaspekt des rechtlichen Gehörs - geboten, dass die Vorinstanz auf die Stellungnahme der Beschwerdeführenden eingeht und darlegt, inwiefern diese ihrer Auffassung nach nicht geeignet sei, zu einer anderen Beurteilung des Asylgesuchs zu führen. Denkbar wäre etwa, dass sich die Vorinstanz zwar hat überzeugen lassen und nunmehr eine Verfolgungsgefahr dieser Gruppe bejaht oder zumindest nicht ausschliesst, jedoch im konkreten Fall mangels Glaubhaftigkeit der Vorbringen dennoch die Flüchtlingseigenschaft verneint. Andernfalls müsste wohl der Schluss gezogen werden, die Vorinstanz verneine die Asylrelevanz nach wie vor, ziehe es aber im Sinne der Minimierung des Aufwandes vor, statt die Argumentation der Stellungnahme zum Entwurf zu widerlegen, den offenbar einfacheren Weg der Begründung über die Glaubhaftigkeit zu wählen. Einfach gar nichts zur Stellungnahme zu sagen, wie wenn sie nie eingegangen wäre, ist jedenfalls sehr intransparent und damit auch unter diesem Aspekt nicht im Sinne des rechtlichen Gehörs.</w:t>
      </w:r>
    </w:p>
    <w:p>
      <w:r>
        <w:rPr>
          <w:b/>
        </w:rPr>
        <w:t>E. 4.5</w:t>
      </w:r>
    </w:p>
    <w:p>
      <w:r>
        <w:t>Nach dem Gesagten hat die Vorinstanz das rechtliche Gehör verletzt. Der Anspruch auf rechtliches Gehör ist formeller Natur, weshalb seine Verletzung grundsätzlich ungeachtet der materiellen Auswirkungen zur Aufhebung des daraufhin ergangenen Entscheides führt (vgl. BVGE 2008/14 E.4.1, 2007/30 E. 8.2).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Entscheidreife durch die Beschwerdeinstanz mit vertretbarem Aufwand hergestellt werden kann. Ausgeschlossen ist eine Heilung bei schweren oder regelmässigen Verletzungen der Ansprüche auf prozessuale Kommunikation (vgl. Jörg Paul Müller/Markus Schefer, Grundrechte in der Schweiz, 4. Aufl. 2008, S. 855). Die festgestellte Verletzung des rechtlichen Gehörs erscheint an sich nicht derart schwerwiegend, dass eine Heilung ausgeschlossen wäre. Indessen würde dies voraussetzen, dass das Versäumte nachgeholt wird und sich die Beschwerdeführenden dazu haben äussern können. Die Gelegenheit dazu hätte im Rahmen des Vernehmlassungsverfahrens bestanden. Da sich die Vorinstanz in ihrer Vernehmlassung mit der genannten Rüge nicht auseinandergesetzt hat, ist eine Heilung auf Beschwerdeebene nicht möglich.</w:t>
      </w:r>
    </w:p>
    <w:p>
      <w:r>
        <w:rPr>
          <w:b/>
        </w:rPr>
        <w:t>E. 5</w:t>
      </w:r>
    </w:p>
    <w:p>
      <w:r>
        <w:t>Bei dieser Sachlage ist die Verfügung des SEM vom 2. Juli 2015 aufzuheben und das Verfahren zur erneuten Entscheidung an die Vorinstanz zurückzuweisen.</w:t>
      </w:r>
    </w:p>
    <w:p>
      <w:r>
        <w:rPr>
          <w:b/>
        </w:rPr>
        <w:t>E. 6.1</w:t>
      </w:r>
    </w:p>
    <w:p>
      <w:r>
        <w:t>Bei diesem Ausgang des Verfahrens sind keine Kosten zu erheben (Art. 63 Abs. 3 VwVG i.V.m. Art. 37 VGG).</w:t>
      </w:r>
    </w:p>
    <w:p>
      <w:r>
        <w:rPr>
          <w:b/>
        </w:rPr>
        <w:t>E. 6.2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hat keine Kostennote eingereicht, jedoch kann auf eine entsprechende Nachforderung verzichtet werden, da der notwendige Vertretungsaufwand aufgrund der Akten zuverlässig abgeschätzt werden kann und die Parteientschädigung unter Berücksichtigung der massgebenden Berechnungsfaktoren (Art. 8, 9 und 11 VGKE) auf Fr. 1200.- (inkl. Auslagen und Mehrwertsteuer) festzusetzen ist. Der Anspruch auf amtliches Honorar des als amtlicher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