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D-4445/2022 vom 8. Februar 2023</w:t>
      </w:r>
    </w:p>
    <w:p>
      <w:r>
        <w:t>Bundesverwaltungsgericht, 2023-02-08, DE</w:t>
      </w:r>
    </w:p>
    <w:p>
      <w:r>
        <w:rPr>
          <w:b/>
        </w:rPr>
        <w:t xml:space="preserve">Quelle: </w:t>
      </w:r>
      <w:r>
        <w:t>https://mcp.opencaselaw.ch/entscheid/bvger_D-4445_2022</w:t>
      </w:r>
    </w:p>
    <w:p>
      <w:r>
        <w:t>FR: TAF D-4445/2022 du 8 février 2023</w:t>
      </w:r>
    </w:p>
    <w:p>
      <w:r>
        <w:t>IT: TAF D-4445/2022 del 8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demnach einzutreten.</w:t>
      </w:r>
    </w:p>
    <w:p>
      <w:r>
        <w:rPr>
          <w:b/>
        </w:rPr>
        <w:t>E. 1.3</w:t>
      </w:r>
    </w:p>
    <w:p>
      <w:r>
        <w:t>Die Vernehmlassung des SEM wurde dem Beschwerdeführer bisher nicht zugestellt; sie ist ihm aus Transparenzgründen zusammen mit dem vorliegenden Urteil zu eröffnen.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D-4445/2022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sei am 21. Oktober 2021 aus der Türkei ausgereist. Nach den Spitzelangeboten und dem Angriff auf ihn, bei dem er am Arm verletzt wor- den sei, bis zu seiner Ausreise sei über ein Jahr vergangen. Während die- ser Zeit sei er an seinem Herkunftsort verblieben und seiner Arbeit nach- gegangen. Die erlebten Nachteile seien nicht derart gravierend gewesen, dass er sich diesen nur durch Flucht ins Ausland hätte entziehen können, weshalb sie asylrechtlich nicht relevant seien. Als ausschlaggebenden Grund für die Ausreise habe der Beschwerdefüh- rer die geltend gemachte Anzeige wegen seiner Hilfetätigkeiten für die PKK bezeichnet. Er befürchte, bei einer Rückkehr in die Türkei ins Gefängnis zu kommen oder getötet zu werden. Aus objektiver Sicht sei festzuhalten, dass er sich bislang keiner Straftat schuldig gemacht habe und als straf- rechtlich unbescholten gelte. Der Umstand, dass er einen Tag nach der Hausdurchsuchung zu seinem Elternhaus gegangen sei, sei als Hinweis dafür zu werten, dass er zu diesem Zeitpunkt nichts Konkretes zu befürch- ten gehabt habe. Er sei auf seine Verpflichtung hingewiesen worden, an der Erhebung des Sachverhalts mitzuwirken und dem SEM neue Beweis- mittel laufend einzureichen. Seit der Anhörung im Februar 2022 seien beim SEM keine Beweismittel eingegangen, womit keine konkreten Hinweise auf ein gegen ihn hängiges Strafverfahren bestünden. Aufgrund seines nie- derschwelligen politischen Engagements habe er keine Probleme mit den türkischen Behörden gehabt. Nebst HDP-Posts in den sozialen Medien, die als niederschwellig zu bezeichnen seien, weise er keine exilpolitischen Tä- tigkeiten auf. Mehrere seiner Verwandten hätten F._______ ebenfalls ver- lassen. Da die Ausreisegründe der Angehörigen keine konkreten Anhalts- punkte für einen relevanten Zusammenhang mit seiner Ausreise aufwie- sen, erhöhe sich die begründete Furcht dadurch nicht. Aus den seinem Va- ter entstandenen Schwierigkeiten könne keine gegen ihn gerichtete Re- flexverfolgung abgeleitet werden. Sein vor über 25 Jahren verstorbener</w:t>
      </w:r>
    </w:p>
    <w:p>
      <w:r>
        <w:t>D-4445/2022 Seite 7 Onkel G._______, der Anhänger der PKK gewesen sei, schärfe sein Risi- koprofil nicht dahingehend, dass in einer Gesamtbeurteilung die Anforde- rungen der objektiv begründeten Furcht erfüllt wären. Der Beschwerdefüh- rer verfüge insgesamt gesehen über kein heikles und exponiertes politi- sches Risikoprofil. Die geltend gemachte Hausdurchsuchung und die damit verbundene Suche nach ihm vor seiner Ausreise deute nicht mit grosser Wahrscheinlichkeit darauf hin, dass er flüchtlingsrechtlich relevante Nach- teile zu befürchten habe. An dieser Einschätzung könne auch seine Her- kunft aus F._______ nichts ändern. Die pauschale Geltendmachung einer Gefährdung aufgrund der Herkunft aus diesem Dorf vermöge kein zusätz- liches Risiko auszulösen. Seine Eltern und weitere Verwandte lebten wei- terhin dort. Nach Prüfung sämtlicher Akten sei nicht von einer begründeten Furcht vor Verfolgung im Sinne von Art. 3 AsyIG auszugehen. An dieser Einschätzung änderten auch die eingereichten Fotografien, Videos und der Zeitungsaus- schnitt nichts, zumal die Tätigkeiten seines Onkels G._______ nicht be- stritten würden und der Zeitungsartikel ihn persönlich nicht betreffe. Die befürchteten Nachteile beschränkten sich auf regionale Verfolgungsmass- nahmen, denen er sich bei Bedarf durch einen Wegzug in einen anderen Teil der Türkei entziehen könne.</w:t>
      </w:r>
    </w:p>
    <w:p>
      <w:r>
        <w:rPr>
          <w:b/>
        </w:rPr>
        <w:t>E. 4.2</w:t>
      </w:r>
    </w:p>
    <w:p>
      <w:r>
        <w:t>In der Beschwerde wird geltend gemacht, gegen den Beschwerdefüh- rer seien von staatlicher Seite Übergriffe verübt worden und die Polizei su- che ihn. Bei staatlicher Verfolgung sei grundsätzlich von fehlendem Schutzwillen des Staates auszugehen. Gehe die Verfolgung von staatli- chen Einzelakteuren aus, die ihre Kompetenzen überschritten, sei desto eher ein fehlender Schutzwille anzunehmen, je höher der Akteur in der Hie- rarchie stehe. Übergriffe durch den Staat auf Kurden hätten seit der erneu- ten Eskalation des Kurdenkonflikts Mitte 2015 und dem Putschversuch Mitte 2016 stark zugenommen. Es werde über willkürliche Verhaftungen von Oppositionellen und Kurden berichtet. Die türkische Regierung nehme vermehrt Einfluss auf die Justiz. Mit der Verfassungsreform von 2017 habe sich Präsident Recep Tayyip Erdogan ausreichend Macht über das Gre- mium gesichert, das Richterinnen und Richter ernenne und entlasse. Seit dem Putschversuch seien 4000 Richterinnen und Richter wegen Terrorver- dachts entlassen worden. Unter den Justizangestellten herrsche die Angst, dass man selbst zur Zielscheibe werde und mit einer Strafverfolgung rech- nen müsse, wenn man sich nicht entsprechend der Regierungsdoktrin ver- halte. Auch die Schweizerische Flüchtlingshilfe (SFH) drücke ihre Besorg-</w:t>
      </w:r>
    </w:p>
    <w:p>
      <w:r>
        <w:t>D-4445/2022 Seite 8 nis über den Zustand des Rechtsstaats in der Türkei aus. Bei den Verfol- gern des Beschwerdeführers handle es sich um Mitglieder der Polizei, wo- mit eine staatliche Verfolgung gegeben sei, die sich gezielt gegen ihn richte. Dem türkischen Staat werde es nicht gelingen, solche Übergriffe zu verhindern, weshalb dieser schutzunwillig beziehungsweise schutzunfähig sei. Die Familie des Beschwerdeführers habe einen Anwalt konsultiert, um herauszufinden, was der «Besuch» der Polizei zu bedeuten habe. Der An- walt habe keine Informationen erhalten, weshalb keine Beweismittel hätten eingereicht werden können. Aus der angefochtenen Verfügung, so der Beschwerdeführer weiter, gehe nicht hervor, welches Mass an Intensität der Vorfälle zu erwarten wäre, um den Anforderungen der Flüchtlingseigenschaft gemäss Art. 3 AsyIG zu ge- nügen, und es werde nicht klar, was er noch hätte erleben müssen, damit die geltend gemachten Ereignisse eine bestimmte Intensität aufwiesen. Hinsichtlich seiner Mitgliedschaft bei der HDP sei festzuhalten, dass die Repression gegen kritische Personen in der Türkei zunehme. Mitglieder der HDP würden zu Tausenden verhaftet und auch einfache Kritiker hätten mit Strafverfolgung, Haft und Folter zu rechnen. Bezüglich der Menschen- rechtslage in der Türkei lägen zahlreiche Berichte vor, wobei vor allem die fehlende Unabhängigkeit der Justiz, die Nichtgewährung von Verfahrens- rechten, die Verfolgung von Menschenrechtsanwälten und die verbreitet angewandte Folter zu beachten seien. In diesem Zusammenhang berück- sichtige das SEM wesentliche Aussagen des Beschwerdeführers nicht. Insbesondere seien die Reflexverfolgung wegen der politischen Mitglied- schaft, die Teilnahme an Kundgebungen und die Meinungsäusserungen auf sozialen Netzwerken nicht angemessen gewürdigt worden. Auch die aktive Teilnahme eines Onkels bei der PKK sei ausser Acht gelassen und nicht gewürdigt worden. Der Anspruch des Beschwerdeführers auf rechtli- ches Gehör sei nicht rechtsgenüglich gewahrt worden. Der Beschwerdeführer sei in der gesamten Türkei einem erhöhten Folter- risiko ausgesetzt, was durch den Vorfall, bei dem er wegen der Tätowie- rung an seinem Arm misshandelt worden sei, belegt werde. Das SEM gehe auf seine Aussagen oberflächlich ein und bagatellisiere die Vorfälle. Ihm seien grosse körperliche und seelische Schmerzen zugefügt worden, weil die staatliche Spezialeinheit den Aufenthaltsort seines verstorbenen On- kels habe ausfindig machen wollen. Die Misshandlungen seien offensicht- lich unter dem Begriff der Folter zu subsumieren und zeigten, dass von einer Rechtsstaatlichkeit in der Türkei nicht die Rede sein könne. Indem</w:t>
      </w:r>
    </w:p>
    <w:p>
      <w:r>
        <w:t>D-4445/2022 Seite 9 das SEM auf seine Ausführungen nicht näher eingehe, verletze es das rechtliche Gehör sowie Art. 3 ff. AsyIG. Das SEM verharmlose den Einkauf des Beschwerdeführers für die Guerillakämpfer. Bei der Razzia, die des- halb bei seinen Eltern durchgeführt worden sei, seien diese körperlich an- gegriffen worden. Es sei verlangt worden, dass sie seinen Aufenthaltsort bekannt gäben, ansonsten er getötet werde. Er habe sich vorsichtig nach Hause begeben, um seine Sachen zu packen und zu flüchten. Das SEM lasse ausser Betracht, dass die Anti-Terror-Einheiten gesagt hätten, er habe der Terrororganisation Beihilfe geleistet. Seine türkische Rechtsver- tretung werde ihm Auszüge aus den Strafakten schicken.</w:t>
      </w:r>
    </w:p>
    <w:p>
      <w:r>
        <w:rPr>
          <w:b/>
        </w:rPr>
        <w:t>E. 4.3</w:t>
      </w:r>
    </w:p>
    <w:p>
      <w:r>
        <w:t>Das SEM führt in seiner Vernehmlassung aus, es habe sich in der an- gefochtenen Verfügung mit dem Profil des Beschwerdeführers auseinan- dergesetzt und eine einzelfallspezifische Einschätzung seines Risikoprofils vorgenommen. Die in der Beschwerde erhobenen Rügen könnten zu kei- ner anderen Einschätzung führen, da keine neuen Sachverhaltselemente dargelegt worden seien. Eine Gehörsverletzung sei zu verneinen. Das Vor- kommnis, bei dem er wegen seiner Tätowierung angegriffen worden sei, werde vom SEM nicht bagatellisiert. Eine andere Beurteilung der Asylrele- vanz stelle keine Verletzung des rechtlichen Gehörs dar. Die mit der Beschwerde eingereichten Dokumente (Antrag auf Ausstellung eines Vorführbefehls der Staatsanwaltschaft I._______, richterlicher Vor- führbefehl des Strafgerichts I._______) seien vom SEM einer internen Do- kumentenanalyse unterzogen worden, die auf dem Abgleich mit Ver- gleichsmaterial sowie auf Informationen der Länderanalyse des SEM be- ruhe. Die Dokumente wiesen ein oder mehrere objektive Fälschungsmerk- male auf. Der entsprechende Analysebericht enthalte Angaben, an deren Geheimhaltung ein wesentliches öffentliches Interesse bestehe (Art. 27 Abs. 1 VwVG). Daher könne er dem Bundesverwaltungsgericht nicht offen- gelegt werden. Der wesentliche Inhalt werde dem Gericht jedoch zur Kenntnis gebracht (Art. 28 VwVG). Die unterzeichnende Person könne den Antrag auf Ausstellung eines Vorführbefehls nicht erstellt/ausgestellt ha- ben. Die Form des richterlichen Vorführbefehls entspreche nicht derjenigen eines von der für diese Art von Dokument zuständigen Behörde ausgestell- ten Dokuments, und nach geltendem türkischem Recht werde dieses Do- kument nicht von dieser Behörde ausgestellt. Das SEM erachte die Doku- mente aufgrund der eindeutigen objektiven Fälschungsmerkmale als ge- fälscht. Folglich halte das geltend gemachte Ermittlungsverfahren den An- forderungen an die Glaubhaftigkeit gemäss Art. 7 AsylG nicht stand.</w:t>
      </w:r>
    </w:p>
    <w:p>
      <w:r>
        <w:t>D-4445/2022 Seite 10</w:t>
      </w:r>
    </w:p>
    <w:p>
      <w:r>
        <w:rPr>
          <w:b/>
        </w:rPr>
        <w:t>E. 5.1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Aus dem Akteneinsichtsrecht als Teilgehalt des rechtlichen Gehörs folgt, dass grundsätzlich sämtliche beweiserheblichen Akten den Beteiligten of- fenzulegen sind, sofern in der sie unmittelbar betreffenden Verfügung da- rauf abgestellt wird (vgl.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(vgl. BGE 130 II 473 E. 4.1 m.w.H.). Der Anspruch auf Akteneinsicht setzt eine geordnete, übersichtliche und vollständige Aktenführung (Ab- lage, Paginierung und Registrierung der vollständigen Akten im Aktenver- zeichnis) voraus (vgl. BVGE 2012/24 E. 3.2, 2011/37 E. 5.4.1).</w:t>
      </w:r>
    </w:p>
    <w:p>
      <w:r>
        <w:rPr>
          <w:b/>
        </w:rPr>
        <w:t>E. 5.2</w:t>
      </w:r>
    </w:p>
    <w:p>
      <w:r>
        <w:t>Das SEM macht in der Vernehmlassung geltend, es habe die beiden vom Beschwerdeführer auf Beschwerdeebene eingereichten Dokumente einer internen Dokumentenanalyse unterzogen und dabei Fälschungs- merkmale festgestellt. In den elektronischen Akten des SEM (vom Gericht eingesehen am 18. Januar 2023) ist keine «interne Dokumentenanalyse» abgelegt. Eine vom SEM vorgenommene Dokumentenprüfung hätte indes- sen Niederschlag in den Akten zu finden und wäre praxisgemäss nicht als «interne Akte» zu klassifizieren, zumal interne Akten Unterlagen sind, de- nen für die Behandlung eines Falles kein Beweischarakter zukommt, son- dern die vielmehr ausschliesslich der verwaltungsinternen Meinungsbil- dung dienen (vgl. BVGE 2008/14 E. 6.2.1). Das SEM geht in seiner Ver- nehmlassung zwar grundsätzlich zu Recht davon aus, dass bei internen</w:t>
      </w:r>
    </w:p>
    <w:p>
      <w:r>
        <w:t>D-4445/2022 Seite 11 Dokumentenanalyen gewichtige Geheimhaltungsinteressen (vgl. Art. 27 VwVG) bestehen können – insbesondere bezüglich der Prüfungspunkte bei der Durchführung einer derartigen Analyse –, die geeignet sein können, die Akteneinsicht einzuschränken (vgl. BVGE 2011/37 E. 5.4.4, Urteil des BVGer A-3147/2021 vom 24. August 2022 E. 3.2.4 m.w.H.). Die Geheim- haltungsinteressen gelten indessen gegenüber den am Verfahren beteilig- ten Parteien (vgl. Art. 26 ff. VwVG), nicht aber gegenüber dem Bundesver- waltungsgericht als der fachlich dem SEM übergeordneten richterlichen Behörde, die auf Beschwerde hin in materieller Hinsicht unter anderem die Schlüssigkeit der Dokumentenanalyse und in formeller Hinsicht unter an- derem die Einhaltung der Bestimmungen über die Gewährung des rechtli- chen Gehörs bezüglich der am Verfahren beteiligten Parteien zu prüfen hat.</w:t>
      </w:r>
    </w:p>
    <w:p>
      <w:r>
        <w:rPr>
          <w:b/>
        </w:rPr>
        <w:t>E. 5.3</w:t>
      </w:r>
    </w:p>
    <w:p>
      <w:r>
        <w:t>Die in einer Dokumentenanalyse enthaltenen Informationen sind für den Entscheid von erheblicher Relevanz, sodass diese vorbehältlich von Geheimhaltungsinteressen dem Akteneinsichtsrecht unterstehen. Auf- grund der Aktenführungspflicht wäre das SEM gehalten gewesen, eine Do- kumentenanalyse zur Authentizität der zur Vernehmlassung übermittelten Beweismittel in den Akten so zu dokumentieren, dass jederzeit nachvollzo- gen werden kann, wie es zu seinen diesbezüglichen Erkenntnissen gelangt ist. Wie bereits unter Erwägung 5.1 festgehalten, setzt der Anspruch auf Akteneinsicht eine vollständige Aktenführung voraus. Nur so kann sicher- gestellt werden, dass eine unabhängige richterliche Prüfung des der Partei zustehenden Akteneinsichtsrechts erfolgen und eine «Geheimjustiz» ver- hindert werden kann. Die Begründung der Vernehmlassung lässt für das Bundesverwaltungsgericht nicht hinreichend nachvollziehbar erkennen, aus welchen Gründen das SEM zur Feststellung gelangt ist, die beiden eingereichten Dokumente seien nicht authentisch. Bei den in der Vernehm- lassung festgehaltenen Fälschungsmerkmalen handelt es sich daher letzt- lich um nicht nachvollziehbare Parteibehauptungen, die sich einer richter- lichen Überprüfung verschliessen.</w:t>
      </w:r>
    </w:p>
    <w:p>
      <w:r>
        <w:rPr>
          <w:b/>
        </w:rPr>
        <w:t>E. 5.4</w:t>
      </w:r>
    </w:p>
    <w:p>
      <w:r>
        <w:t>Zusammenfassend ist festzustellen, dass das SEM mehrere Teilge- halte des Anspruch auf rechtliches Gehör des Beschwerdeführers verletzt hat. Zudem verunmöglicht es dem Bundesverwaltungsgericht durch die mangelhafte Aktenführung eine materielle und formelle Prüfung der sich rund um die Frage der Echtheit der eingereichten Beweismittel stellenden Sachverhalts- und Rechtsfragen.</w:t>
      </w:r>
    </w:p>
    <w:p>
      <w:r>
        <w:t>D-4445/2022 Seite 12</w:t>
      </w:r>
    </w:p>
    <w:p>
      <w:r>
        <w:rPr>
          <w:b/>
        </w:rPr>
        <w:t>E. 6</w:t>
      </w:r>
    </w:p>
    <w:p>
      <w:r>
        <w:t>Aufgrund der vorstehenden Erwägungen ist die Beschwerde gutzuheissen, soweit subeventuell die Aufhebung der Verfügung vom 31. August 2022 und die Rückweisung der Sache an die Vorinstanz beantragt werden (vgl. Art. 61 Abs. 1 VwVG). Angesichts der Rückweisung der Sache erübrigt sich eine Auseinandersetzung mit den weiteren Vorbringen in der Be- schwerde.</w:t>
      </w:r>
    </w:p>
    <w:p>
      <w:r>
        <w:rPr>
          <w:b/>
        </w:rPr>
        <w:t>E. 7</w:t>
      </w:r>
    </w:p>
    <w:p>
      <w:r>
        <w:t>Das SEM wird im wiederaufzunehmenden erstinstanzlichen Verfahren, die «interne Dokumentenanalyse» gemäss den Vorgaben gemäss BVGE 2011/37 E. 5.4.3 in den Akten abzulegen haben. Anschliessend wird es dem Beschwerdeführer den wesentlichen Inhalt der Dokumentenanalyse bekanntzugeben und ihm dazu das rechtliche Gehör zu gewähren haben (vgl. a.a.O. E. 5.4.4). Schliesslich wird es in einem allfälligen erneuten ab- lehnenden Entscheid unter anderem die Gründe, aufgrund derer es die eingereichten Dokumente als nicht authentisch erachtet, nachvollziehbar darzulegen haben (vgl. a.a.O. E. 5.4.5).</w:t>
      </w:r>
    </w:p>
    <w:p>
      <w:r>
        <w:rPr>
          <w:b/>
        </w:rPr>
        <w:t>E. 8</w:t>
      </w:r>
    </w:p>
    <w:p>
      <w:r>
        <w:t>Bei diesem Ausgang des Verfahrens sind keine Kosten zu erheben (Art. 63 Abs. 1 und 2 VwVG).</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2000.–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